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106" w:type="dxa"/>
        <w:jc w:val="left"/>
        <w:tblInd w:w="0" w:type="dxa"/>
        <w:tblLayout w:type="fixed"/>
        <w:tblCellMar>
          <w:top w:w="28" w:type="dxa"/>
          <w:left w:w="28" w:type="dxa"/>
          <w:bottom w:w="28" w:type="dxa"/>
          <w:right w:w="28" w:type="dxa"/>
        </w:tblCellMar>
      </w:tblPr>
      <w:tblGrid>
        <w:gridCol w:w="6106"/>
      </w:tblGrid>
      <w:tr>
        <w:trPr/>
        <w:tc>
          <w:tcPr>
            <w:tcW w:w="610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10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106" w:type="dxa"/>
            <w:tcBorders/>
            <w:vAlign w:val="center"/>
          </w:tcPr>
          <w:p>
            <w:pPr>
              <w:pStyle w:val="TableContents"/>
              <w:bidi w:val="0"/>
              <w:spacing w:before="0" w:after="0"/>
              <w:jc w:val="left"/>
              <w:rPr/>
            </w:pPr>
            <w:r>
              <w:rPr/>
              <w:t xml:space="preserve">UNDER THE SECURITIES EXCHANGE ACT OF 1934 </w:t>
            </w:r>
          </w:p>
        </w:tc>
      </w:tr>
      <w:tr>
        <w:trPr/>
        <w:tc>
          <w:tcPr>
            <w:tcW w:w="610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6106" w:type="dxa"/>
            <w:tcBorders/>
            <w:vAlign w:val="center"/>
          </w:tcPr>
          <w:p>
            <w:pPr>
              <w:pStyle w:val="TableContents"/>
              <w:bidi w:val="0"/>
              <w:spacing w:before="0" w:after="0"/>
              <w:jc w:val="center"/>
              <w:rPr>
                <w:b/>
                <w:color w:val="0000FF"/>
              </w:rPr>
            </w:pPr>
            <w:r>
              <w:rPr>
                <w:b/>
                <w:color w:val="0000FF"/>
              </w:rPr>
              <w:t>AGIOS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106" w:type="dxa"/>
            <w:tcBorders/>
            <w:vAlign w:val="center"/>
          </w:tcPr>
          <w:p>
            <w:pPr>
              <w:pStyle w:val="TableContents"/>
              <w:bidi w:val="0"/>
              <w:spacing w:before="0" w:after="0"/>
              <w:jc w:val="center"/>
              <w:rPr>
                <w:b/>
                <w:color w:val="0000FF"/>
              </w:rPr>
            </w:pPr>
            <w:r>
              <w:rPr>
                <w:b/>
                <w:color w:val="0000FF"/>
              </w:rPr>
              <w:t>Common Stock, par value $0.001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10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10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5,917,400.00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5,917,400.00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 Crossings Institutional Partners V,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Offshore Investors II,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(AM) Investors,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F5 Master 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Healthcare Partners Master,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Partners,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Institutional (GP) V,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F5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Healthcare Partners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Dapice Joshua J.</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Dreyfuss, Philip 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Dunn Hannah 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Gehani, Varun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Giauque, Nicolas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Husen, Avner 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 David 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Linn, Michael 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Luo Patrick (Cheng)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Roberts, Jr., Thomas 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Saito Edric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Short Daniel 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Spokes, Andrew J. 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cusipNumber27"/>
      <w:bookmarkStart w:id="115" w:name="cusipNumber27"/>
      <w:bookmarkEnd w:id="1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6" w:name="reportingPersonDetails27"/>
      <w:bookmarkStart w:id="117" w:name="reportingPersonDetails27"/>
      <w:bookmarkEnd w:id="1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Warren, John 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8" w:name="cusipNumber28"/>
      <w:bookmarkStart w:id="119" w:name="cusipNumber28"/>
      <w:bookmarkEnd w:id="1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0" w:name="reportingPersonDetails28"/>
      <w:bookmarkStart w:id="121" w:name="reportingPersonDetails28"/>
      <w:bookmarkEnd w:id="1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Wehrly, Mark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22" w:name="item1to9"/>
      <w:bookmarkStart w:id="123" w:name="item1to9"/>
      <w:bookmarkEnd w:id="123"/>
    </w:p>
    <w:tbl>
      <w:tblPr>
        <w:tblW w:w="10205" w:type="dxa"/>
        <w:jc w:val="left"/>
        <w:tblInd w:w="0" w:type="dxa"/>
        <w:tblLayout w:type="fixed"/>
        <w:tblCellMar>
          <w:top w:w="28" w:type="dxa"/>
          <w:left w:w="28" w:type="dxa"/>
          <w:bottom w:w="28" w:type="dxa"/>
          <w:right w:w="28" w:type="dxa"/>
        </w:tblCellMar>
      </w:tblPr>
      <w:tblGrid>
        <w:gridCol w:w="1081"/>
        <w:gridCol w:w="8969"/>
        <w:gridCol w:w="155"/>
      </w:tblGrid>
      <w:tr>
        <w:trPr/>
        <w:tc>
          <w:tcPr>
            <w:tcW w:w="1081" w:type="dxa"/>
            <w:tcBorders/>
            <w:vAlign w:val="center"/>
          </w:tcPr>
          <w:p>
            <w:pPr>
              <w:pStyle w:val="TableContents"/>
              <w:bidi w:val="0"/>
              <w:spacing w:before="0" w:after="283"/>
              <w:jc w:val="left"/>
              <w:rPr/>
            </w:pPr>
            <w:r>
              <w:rPr/>
              <w:t>Item 1.</w:t>
            </w:r>
          </w:p>
        </w:tc>
        <w:tc>
          <w:tcPr>
            <w:tcW w:w="896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jc w:val="left"/>
              <w:rPr/>
            </w:pPr>
            <w:r>
              <w:rPr/>
              <w:t xml:space="preserve">Name of issuer: </w:t>
            </w:r>
          </w:p>
          <w:p>
            <w:pPr>
              <w:pStyle w:val="TableContents"/>
              <w:bidi w:val="0"/>
              <w:spacing w:before="0" w:after="0"/>
              <w:jc w:val="left"/>
              <w:rPr/>
            </w:pPr>
            <w:r>
              <w:rPr/>
              <w:t>AGIOS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88 Sidney Street, Cambridge, Massachusetts, 02139</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2.</w:t>
            </w:r>
          </w:p>
        </w:tc>
        <w:tc>
          <w:tcPr>
            <w:tcW w:w="896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entity and persons listed below, all of whom together are referred to herein as the "Reporting Persons." (i) Farallon Capital Management, L.L.C., a Delaware limited liability company (the "Investment Manager"), which is the investment manager of certain investment partnerships and vehicles, including the Farallon Funds (as defined in Item 4), with respect to the Shares held by the Farallon Funds; and (ii) The following persons, each of whom is a managing member or senior managing member, as the case may be, of the Investment Manager, with respect to the Shares held by the Farallon Funds: Joshua J. Dapice ("Dapice"); Philip D. Dreyfuss ("Dreyfuss"); Hannah E. Dunn ("Dunn"); Varun N. Gehani ("Gehani"); Nicolas Giauque ("Giauque"); Avner A. Husen ("Husen"); David T. Kim ("Kim"); Michael G. Linn ("Linn"); Patrick (Cheng) Luo ("Luo"); Thomas G. Roberts, Jr. ("Roberts"); Edric C. Saito ("Saito"); Daniel S. Short ("Short"); Andrew J. M. Spokes ("Spokes"); John R. Warren ("Warren"); and Mark C. Wehrly ("Wehrly"). Dapice, Dreyfuss, Dunn, Gehani, Giauque, Husen, Kim, Linn, Luo, Roberts, Saito, Short, Spokes, Warren and Wehrly are together referred to herein as the "Farallon Individual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Farallon Capital Management, L.L.C., One Maritime Plaza, Suite 2100, San Francisco, California 94111.</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(c)</w:t>
            </w:r>
          </w:p>
        </w:tc>
        <w:tc>
          <w:tcPr>
            <w:tcW w:w="8969" w:type="dxa"/>
            <w:tcBorders/>
            <w:vAlign w:val="center"/>
          </w:tcPr>
          <w:p>
            <w:pPr>
              <w:pStyle w:val="TableContents"/>
              <w:bidi w:val="0"/>
              <w:jc w:val="left"/>
              <w:rPr/>
            </w:pPr>
            <w:r>
              <w:rPr/>
              <w:t xml:space="preserve">Citizenship: </w:t>
            </w:r>
          </w:p>
          <w:p>
            <w:pPr>
              <w:pStyle w:val="TableContents"/>
              <w:bidi w:val="0"/>
              <w:spacing w:before="0" w:after="0"/>
              <w:jc w:val="left"/>
              <w:rPr/>
            </w:pPr>
            <w:r>
              <w:rPr/>
              <w:t>The jurisdiction of organization of the Investment Manager is set forth above. Each of the Farallon Individual Reporting Persons, other than Giauque, Luo and Spokes, is a citizen of the United States. Giauque is a citizen of France. Luo is a citizen of China. Spokes is a citizen of the United Kingdom.</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(d)</w:t>
            </w:r>
          </w:p>
        </w:tc>
        <w:tc>
          <w:tcPr>
            <w:tcW w:w="896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(e)</w:t>
            </w:r>
          </w:p>
        </w:tc>
        <w:tc>
          <w:tcPr>
            <w:tcW w:w="896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3.</w:t>
            </w:r>
          </w:p>
        </w:tc>
        <w:tc>
          <w:tcPr>
            <w:tcW w:w="896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(c)</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(d)</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(e)</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(f)</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(g)</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(h)</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(j)</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(k)</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4.</w:t>
            </w:r>
          </w:p>
        </w:tc>
        <w:tc>
          <w:tcPr>
            <w:tcW w:w="896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 The Shares reported hereby as beneficially owned by the Reporting Persons are held directly by the following investment partnerships, of which the Investment Manager is the investment manager: (i) Farallon Capital Partners, L.P., a California limited partnership ("FCP"); (ii) Farallon Capital Institutional Partners, L.P., a California limited partnership ("FCIP"); (iii) Farallon Capital Institutional Partners II, L.P., a California limited partnership ("FCIP II"); (iv) Farallon Capital Institutional Partners III, L.P., a Delaware limited partnership ("FCIP III"); (v) Four Crossings Institutional Partners V, L.P., a Delaware limited partnership ("FCIP V"); (vi) Farallon Capital Offshore Investors II, L.P., a Cayman Islands exempted limited partnership ("FCOI II"); (vii) Farallon Capital (AM) Investors, L.P., a Delaware limited partnership ("FCAMI"); (viii) Farallon Capital F5 Master I, L.P., a Cayman Islands exempted limited partnership ("F5MI"); and (ix) Farallon Healthcare Partners Master, L.P., a Cayman Islands exempted limited partnership ("FHPM"). FCP, FCIP, FCIP II, FCIP III, FCIP V, FCOI II, FCAMI, F5MI and FHPM are together referred to herein as the "Farallon Funds."</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4(a) - (c) and set forth in Rows 5 through 11 of the cover page for each Reporting Person is incorporated herein by reference for each such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(c)</w:t>
            </w:r>
          </w:p>
        </w:tc>
        <w:tc>
          <w:tcPr>
            <w:tcW w:w="896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5.</w:t>
            </w:r>
          </w:p>
        </w:tc>
        <w:tc>
          <w:tcPr>
            <w:tcW w:w="896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6.</w:t>
            </w:r>
          </w:p>
        </w:tc>
        <w:tc>
          <w:tcPr>
            <w:tcW w:w="896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Farallon Funds have the right to receive dividends from, and the proceeds from the sale of, the securities of the Issuer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7.</w:t>
            </w:r>
          </w:p>
        </w:tc>
        <w:tc>
          <w:tcPr>
            <w:tcW w:w="896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8.</w:t>
            </w:r>
          </w:p>
        </w:tc>
        <w:tc>
          <w:tcPr>
            <w:tcW w:w="896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9.</w:t>
            </w:r>
          </w:p>
        </w:tc>
        <w:tc>
          <w:tcPr>
            <w:tcW w:w="896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 w:name="certifications"/>
      <w:bookmarkStart w:id="125" w:name="certifications"/>
      <w:bookmarkEnd w:id="1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signatureInfo"/>
      <w:bookmarkStart w:id="127" w:name="signatureInfo"/>
      <w:bookmarkEnd w:id="1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Farallon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Farallon Capital Partners,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Farallon Capital Institutional Partners,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Farallon Capital Institutional Partners II,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Farallon Capital Institutional Partners III, L.P.</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Four Crossings Institutional Partners V, L.P.</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Farallon Capital Offshore Investors 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Farallon Capital (AM) Investors, L.P.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Farallon Capital F5 Master I, L.P.</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Farallon Healthcare Partners Master, L.P.</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Farallon Partners,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Farallon Institutional (GP) V, L.L.C.</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Farallon F5 (GP),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Farallon Healthcare Partners (GP), L.L.C.</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Dapice Joshua J.</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Dreyfuss, Philip D.</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Dunn Hannah 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Hannah E. Dunn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Hannah E. Dunn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Gehani, Varun 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Giauque, Nicolas</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Husen, Avner A.</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Kim, David T.</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Linn, Michael G.</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Luo Patrick (Cheng)</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Roberts, Jr., Thomas G.</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Saito Edric 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Short Daniel S.</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Spokes, Andrew J. M.</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Warren, John R.</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Wehrly, Mark C.</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6946" w:type="dxa"/>
        <w:jc w:val="left"/>
        <w:tblInd w:w="0" w:type="dxa"/>
        <w:tblLayout w:type="fixed"/>
        <w:tblCellMar>
          <w:top w:w="28" w:type="dxa"/>
          <w:left w:w="28" w:type="dxa"/>
          <w:bottom w:w="28" w:type="dxa"/>
          <w:right w:w="28" w:type="dxa"/>
        </w:tblCellMar>
      </w:tblPr>
      <w:tblGrid>
        <w:gridCol w:w="6946"/>
      </w:tblGrid>
      <w:tr>
        <w:trPr/>
        <w:tc>
          <w:tcPr>
            <w:tcW w:w="6946" w:type="dxa"/>
            <w:tcBorders/>
            <w:vAlign w:val="center"/>
          </w:tcPr>
          <w:p>
            <w:pPr>
              <w:pStyle w:val="TableContents"/>
              <w:bidi w:val="0"/>
              <w:spacing w:before="0" w:after="283"/>
              <w:jc w:val="center"/>
              <w:rPr>
                <w:b/>
              </w:rPr>
            </w:pPr>
            <w:r>
              <w:rPr>
                <w:b/>
              </w:rPr>
              <w:t xml:space="preserve">Exhibit Information </w:t>
            </w:r>
          </w:p>
        </w:tc>
      </w:tr>
      <w:tr>
        <w:trPr/>
        <w:tc>
          <w:tcPr>
            <w:tcW w:w="6946" w:type="dxa"/>
            <w:tcBorders/>
            <w:vAlign w:val="center"/>
          </w:tcPr>
          <w:p>
            <w:pPr>
              <w:pStyle w:val="TableContents"/>
              <w:bidi w:val="0"/>
              <w:spacing w:before="0" w:after="283"/>
              <w:jc w:val="left"/>
              <w:rPr/>
            </w:pPr>
            <w:r>
              <w:rPr/>
              <w:t>Exhibit 1. Joint Acquisition Statement Pursuant to Section 240.13d-1(k)</w:t>
            </w:r>
          </w:p>
        </w:tc>
      </w:tr>
    </w:tbl>
    <w:p>
      <w:pPr>
        <w:pStyle w:val="TextBody"/>
        <w:bidi w:val="0"/>
        <w:spacing w:before="0" w:after="0"/>
        <w:jc w:val="right"/>
        <w:rPr/>
      </w:pPr>
      <w:bookmarkStart w:id="128" w:name="jas.htm"/>
      <w:bookmarkStart w:id="129" w:name="ksjas"/>
      <w:bookmarkEnd w:id="128"/>
      <w:bookmarkEnd w:id="129"/>
      <w:r>
        <w:rPr>
          <w:rFonts w:ascii="Times New Roman" w:hAnsi="Times New Roman"/>
          <w:sz w:val="20"/>
        </w:rPr>
        <w:t>EXHIBIT 1</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rFonts w:ascii="Times New Roman" w:hAnsi="Times New Roman"/>
          <w:sz w:val="20"/>
        </w:rPr>
        <w:t>JOINT ACQUISITION STATEMENT</w:t>
      </w:r>
      <w:r>
        <w:rPr/>
        <w:t xml:space="preserve"> </w:t>
      </w:r>
    </w:p>
    <w:p>
      <w:pPr>
        <w:pStyle w:val="TextBody"/>
        <w:bidi w:val="0"/>
        <w:spacing w:before="0" w:after="0"/>
        <w:jc w:val="center"/>
        <w:rPr/>
      </w:pPr>
      <w:r>
        <w:rPr>
          <w:rFonts w:ascii="Times New Roman" w:hAnsi="Times New Roman"/>
          <w:sz w:val="20"/>
          <w:u w:val="single"/>
        </w:rPr>
        <w:t>PURSUANT TO SECTION 240.13d-1(k)</w:t>
      </w:r>
      <w:r>
        <w:rPr/>
        <w:t xml:space="preserve"> </w:t>
      </w:r>
    </w:p>
    <w:p>
      <w:pPr>
        <w:pStyle w:val="TextBody"/>
        <w:bidi w:val="0"/>
        <w:spacing w:before="0" w:after="0"/>
        <w:jc w:val="left"/>
        <w:rPr/>
      </w:pPr>
      <w:r>
        <w:rPr/>
        <w:t xml:space="preserve">  </w:t>
      </w:r>
    </w:p>
    <w:p>
      <w:pPr>
        <w:pStyle w:val="TextBody"/>
        <w:bidi w:val="0"/>
        <w:spacing w:before="0" w:after="0"/>
        <w:jc w:val="both"/>
        <w:rPr/>
      </w:pPr>
      <w:r>
        <w:rPr>
          <w:rFonts w:ascii="Times New Roman" w:hAnsi="Times New Roman"/>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r>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Dated: August 3, 2026</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44" w:type="dxa"/>
          <w:right w:w="0" w:type="dxa"/>
        </w:tblCellMar>
      </w:tblPr>
      <w:tblGrid>
        <w:gridCol w:w="10205"/>
      </w:tblGrid>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pPr>
            <w:r>
              <w:rPr>
                <w:sz w:val="20"/>
              </w:rPr>
              <w:t>FARALLON CAPITAL MANAGEMENT, L.L.C.</w:t>
            </w:r>
            <w:r>
              <w:rPr/>
              <w:t xml:space="preserve"> </w:t>
            </w:r>
          </w:p>
        </w:tc>
      </w:tr>
      <w:tr>
        <w:trPr/>
        <w:tc>
          <w:tcPr>
            <w:tcW w:w="10205" w:type="dxa"/>
            <w:tcBorders/>
            <w:tcMar>
              <w:bottom w:w="0" w:type="dxa"/>
            </w:tcMar>
            <w:vAlign w:val="center"/>
          </w:tcPr>
          <w:p>
            <w:pPr>
              <w:pStyle w:val="TableContents"/>
              <w:bidi w:val="0"/>
              <w:spacing w:before="0" w:after="0"/>
              <w:jc w:val="both"/>
              <w:rPr/>
            </w:pPr>
            <w:r>
              <w:rPr>
                <w:sz w:val="20"/>
              </w:rPr>
              <w:t>By Hannah E. Dunn, Managing Member</w:t>
            </w:r>
            <w:r>
              <w:rPr/>
              <w:t xml:space="preserve"> </w:t>
            </w:r>
          </w:p>
          <w:p>
            <w:pPr>
              <w:pStyle w:val="TableContents"/>
              <w:bidi w:val="0"/>
              <w:spacing w:before="0" w:after="0"/>
              <w:jc w:val="both"/>
              <w:rPr/>
            </w:pPr>
            <w:r>
              <w:rPr/>
              <w:t xml:space="preserve">  </w:t>
            </w:r>
          </w:p>
        </w:tc>
      </w:tr>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sz w:val="20"/>
              </w:rPr>
            </w:pPr>
            <w:r>
              <w:rPr>
                <w:sz w:val="20"/>
              </w:rPr>
              <w:t>Hannah E. Dunn, individually and as attorney-in-fact for each of Joshua J. Dapice, Philip D. Dreyfuss</w:t>
            </w:r>
            <w:r>
              <w:rPr>
                <w:spacing w:val="0"/>
                <w:sz w:val="20"/>
              </w:rPr>
              <w:t>, </w:t>
            </w:r>
            <w:r>
              <w:rPr>
                <w:sz w:val="20"/>
              </w:rPr>
              <w:t>Varun N. Gehani, Nicolas Giauque, Avner A. Husen, David T. Kim, Michael G. Linn, Patrick (Cheng) Luo, Thomas G. Roberts, Jr., Edric C. Saito, Daniel S. Short, Andrew J. M. Spokes, John R. Warren and Mark C. Wehrly</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16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5324</Words>
  <Characters>27533</Characters>
  <CharactersWithSpaces>32299</CharactersWithSpaces>
  <Paragraphs>1470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