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254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2546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Scadden David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AGIOS PHARMACEUTICALS,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SIDNEY STREET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3"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AGIOS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AGIO </w:t>
      </w:r>
      <w:r>
        <w:rPr>
          <w:rFonts w:ascii="Times New Roman" w:cs="Times New Roman" w:eastAsia="Times New Roman" w:hAnsi="Times New Roman"/>
          <w:sz w:val="20"/>
          <w:szCs w:val="20"/>
          <w:color w:val="000000"/>
        </w:rPr>
        <w:t>]</w:t>
      </w: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7" w:lineRule="exact"/>
        <w:rPr>
          <w:sz w:val="24"/>
          <w:szCs w:val="24"/>
          <w:color w:val="auto"/>
        </w:rPr>
      </w:pPr>
    </w:p>
    <w:p>
      <w:pPr>
        <w:sectPr>
          <w:pgSz w:w="11900" w:h="16838" w:orient="portrait"/>
          <w:cols w:equalWidth="0" w:num="3">
            <w:col w:w="3180" w:space="720"/>
            <w:col w:w="3300" w:space="52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7"/>
                <w:szCs w:val="17"/>
                <w:color w:val="0000FF"/>
                <w:w w:val="98"/>
              </w:rPr>
              <w:t>06/18/2026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2,816</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20,419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2,816</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2,816</w:t>
            </w:r>
          </w:p>
        </w:tc>
        <w:tc>
          <w:tcPr>
            <w:tcW w:w="40" w:type="dxa"/>
            <w:vAlign w:val="bottom"/>
          </w:tcPr>
          <w:p>
            <w:pPr>
              <w:spacing w:after="0"/>
              <w:rPr>
                <w:sz w:val="15"/>
                <w:szCs w:val="1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color w:val="0000FF"/>
              </w:rPr>
              <w:t>2,927</w:t>
            </w: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2,927</w:t>
            </w:r>
          </w:p>
        </w:tc>
        <w:tc>
          <w:tcPr>
            <w:tcW w:w="40" w:type="dxa"/>
            <w:vAlign w:val="bottom"/>
          </w:tcPr>
          <w:p>
            <w:pPr>
              <w:spacing w:after="0"/>
              <w:rPr>
                <w:sz w:val="15"/>
                <w:szCs w:val="1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5"/>
              </w:rPr>
              <w:t>2,927</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34.16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14,950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14,950</w:t>
            </w:r>
          </w:p>
        </w:tc>
        <w:tc>
          <w:tcPr>
            <w:tcW w:w="40" w:type="dxa"/>
            <w:vAlign w:val="bottom"/>
          </w:tcPr>
          <w:p>
            <w:pPr>
              <w:spacing w:after="0"/>
              <w:rPr>
                <w:sz w:val="16"/>
                <w:szCs w:val="16"/>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14,950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1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on June 18, 2025. The shares underlying the stock units will vest in full on June 18, 2026. Vested shares will be delivered to the reporting person within three business days after such shares become vested.</w:t>
      </w:r>
    </w:p>
    <w:p>
      <w:pPr>
        <w:spacing w:after="0" w:line="20" w:lineRule="exact"/>
        <w:rPr>
          <w:rFonts w:ascii="Times New Roman" w:cs="Times New Roman" w:eastAsia="Times New Roman" w:hAnsi="Times New Roman"/>
          <w:sz w:val="13"/>
          <w:szCs w:val="13"/>
          <w:color w:val="008000"/>
        </w:rPr>
      </w:pPr>
    </w:p>
    <w:p>
      <w:pPr>
        <w:ind w:left="40" w:right="1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on June 18, 2026. The shares underlying the stock units will vest in full on June 18, 2027. Vested shares will be delivered to the reporting person within three business days after such shares become vested.</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June 18, 2026. The shares underlying these options vest as to 100% of the underlying shares on June 18, 2027.</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William Cook,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David Scadden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7715"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2026-06-23T16:52:40Z</dcterms:created>
  <dcterms:modified xsi:type="dcterms:W3CDTF">2026-06-23T16:52:40Z</dcterms:modified>
</cp:coreProperties>
</file>