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Agios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001-36014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26-0662915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484"/>
        <w:spacing w:after="0"/>
        <w:rPr>
          <w:sz w:val="20"/>
          <w:szCs w:val="20"/>
          <w:color w:val="auto"/>
        </w:rPr>
      </w:pPr>
      <w:r>
        <w:rPr>
          <w:rFonts w:ascii="Times New Roman" w:cs="Times New Roman" w:eastAsia="Times New Roman" w:hAnsi="Times New Roman"/>
          <w:sz w:val="17"/>
          <w:szCs w:val="17"/>
          <w:b w:val="1"/>
          <w:bCs w:val="1"/>
          <w:color w:val="auto"/>
        </w:rPr>
        <w:t>88 Sidney Street, Cambridge,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649-8600</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AGIO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2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8"/>
          <w:szCs w:val="18"/>
          <w:color w:val="auto"/>
        </w:rPr>
        <w:t>On January 3, 2025, the U.S. Food and Drug Administration approved an update to the U.S. Prescribing Information (“USPI”) for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(mitapivat) for the treatment of hemolytic anemia in adults with pyruvate kinase (“PK”) deficiency. The “Warnings and Precautions” and “Adverse Reactions” sections of the USPI will now include information regarding liver injury observed in patients with another condition. The “Warnings and Precautions” section of the USPI now states that:</w:t>
      </w:r>
    </w:p>
    <w:p>
      <w:pPr>
        <w:spacing w:after="0" w:line="104" w:lineRule="exact"/>
        <w:rPr>
          <w:sz w:val="20"/>
          <w:szCs w:val="20"/>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another condition treated with PYRUKYND at a higher dose than that recommended for patients with PK deficiency, liver injury has been observed;</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events were characterized by a time to onset within the first 6 months of treatment with peak elevations of alanine aminotransferase of &gt;5 times the upper limit of normal (“ULN”) with or without jaundice;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discontinued treatment with PYRUKYND, and these events improved upon treatment discontinuation.</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“Warnings and Precautions” section further instructs prescribers to obtain liver tests prior to the initiation of PYRUKYND and monthly thereafter for the first 6 months and as clinically indicated, to interrupt PYRUKYND if clinically significant increases in liver tests are observed or alanine aminotransferase is &gt;5 times the ULN, and to discontinue PYRUKYND if hepatic injury due to PYRUKYND is suspected.</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“Adverse Reactions” section of the USPI now refers to hepatocellular injury in another condition and refers readers to the updated “Warnings and Precautions” section described above.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Goff</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2025-01-06T05:42:21Z</dcterms:created>
  <dcterms:modified xsi:type="dcterms:W3CDTF">2025-01-06T05:42:21Z</dcterms:modified>
</cp:coreProperties>
</file>