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660400</wp:posOffset>
            </wp:positionV>
            <wp:extent cx="72205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0585"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566420</wp:posOffset>
            </wp:positionV>
            <wp:extent cx="7220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64" w:lineRule="exact"/>
        <w:rPr>
          <w:sz w:val="24"/>
          <w:szCs w:val="24"/>
          <w:color w:val="auto"/>
        </w:rPr>
      </w:pPr>
    </w:p>
    <w:p>
      <w:pPr>
        <w:ind w:left="1280" w:hanging="1254"/>
        <w:spacing w:after="0"/>
        <w:tabs>
          <w:tab w:leader="none" w:pos="1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280" w:hanging="1254"/>
        <w:spacing w:after="0"/>
        <w:tabs>
          <w:tab w:leader="none" w:pos="12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6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w w:val="91"/>
              </w:rPr>
              <w:t>Commission File Number:</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43"/>
        </w:trPr>
        <w:tc>
          <w:tcPr>
            <w:tcW w:w="3960" w:type="dxa"/>
            <w:vAlign w:val="bottom"/>
          </w:tcPr>
          <w:p>
            <w:pPr>
              <w:spacing w:after="0"/>
              <w:rPr>
                <w:sz w:val="21"/>
                <w:szCs w:val="21"/>
                <w:color w:val="auto"/>
              </w:rPr>
            </w:pPr>
          </w:p>
        </w:tc>
        <w:tc>
          <w:tcPr>
            <w:tcW w:w="27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001-36014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26"/>
        </w:trPr>
        <w:tc>
          <w:tcPr>
            <w:tcW w:w="3960" w:type="dxa"/>
            <w:vAlign w:val="bottom"/>
          </w:tcPr>
          <w:p>
            <w:pPr>
              <w:spacing w:after="0"/>
              <w:rPr>
                <w:sz w:val="19"/>
                <w:szCs w:val="19"/>
                <w:color w:val="auto"/>
              </w:rPr>
            </w:pPr>
          </w:p>
        </w:tc>
        <w:tc>
          <w:tcPr>
            <w:tcW w:w="37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AGIOS PHARMACEUTICALS, INC.</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06"/>
        </w:trPr>
        <w:tc>
          <w:tcPr>
            <w:tcW w:w="3960" w:type="dxa"/>
            <w:vAlign w:val="bottom"/>
          </w:tcPr>
          <w:p>
            <w:pPr>
              <w:spacing w:after="0"/>
              <w:rPr>
                <w:sz w:val="17"/>
                <w:szCs w:val="17"/>
                <w:color w:val="auto"/>
              </w:rPr>
            </w:pPr>
          </w:p>
        </w:tc>
        <w:tc>
          <w:tcPr>
            <w:tcW w:w="3700" w:type="dxa"/>
            <w:vAlign w:val="bottom"/>
            <w:gridSpan w:val="5"/>
          </w:tcPr>
          <w:p>
            <w:pPr>
              <w:jc w:val="center"/>
              <w:ind w:right="200"/>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43"/>
        </w:trPr>
        <w:tc>
          <w:tcPr>
            <w:tcW w:w="3960" w:type="dxa"/>
            <w:vAlign w:val="bottom"/>
          </w:tcPr>
          <w:p>
            <w:pPr>
              <w:jc w:val="center"/>
              <w:ind w:left="1620"/>
              <w:spacing w:after="0"/>
              <w:rPr>
                <w:sz w:val="20"/>
                <w:szCs w:val="20"/>
                <w:color w:val="auto"/>
              </w:rPr>
            </w:pPr>
            <w:r>
              <w:rPr>
                <w:rFonts w:ascii="Arial" w:cs="Arial" w:eastAsia="Arial" w:hAnsi="Arial"/>
                <w:sz w:val="16"/>
                <w:szCs w:val="16"/>
                <w:b w:val="1"/>
                <w:bCs w:val="1"/>
                <w:color w:val="auto"/>
                <w:w w:val="93"/>
              </w:rPr>
              <w:t>Delaware</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2"/>
          </w:tcPr>
          <w:p>
            <w:pPr>
              <w:jc w:val="right"/>
              <w:ind w:right="2402"/>
              <w:spacing w:after="0"/>
              <w:rPr>
                <w:sz w:val="20"/>
                <w:szCs w:val="20"/>
                <w:color w:val="auto"/>
              </w:rPr>
            </w:pPr>
            <w:r>
              <w:rPr>
                <w:rFonts w:ascii="Arial" w:cs="Arial" w:eastAsia="Arial" w:hAnsi="Arial"/>
                <w:sz w:val="16"/>
                <w:szCs w:val="16"/>
                <w:b w:val="1"/>
                <w:bCs w:val="1"/>
                <w:color w:val="auto"/>
                <w:w w:val="95"/>
              </w:rPr>
              <w:t>26-0662915</w:t>
            </w:r>
          </w:p>
        </w:tc>
      </w:tr>
      <w:tr>
        <w:trPr>
          <w:trHeight w:val="199"/>
        </w:trPr>
        <w:tc>
          <w:tcPr>
            <w:tcW w:w="3960" w:type="dxa"/>
            <w:vAlign w:val="bottom"/>
          </w:tcPr>
          <w:p>
            <w:pPr>
              <w:jc w:val="center"/>
              <w:ind w:left="1620"/>
              <w:spacing w:after="0"/>
              <w:rPr>
                <w:sz w:val="20"/>
                <w:szCs w:val="20"/>
                <w:color w:val="auto"/>
              </w:rPr>
            </w:pPr>
            <w:r>
              <w:rPr>
                <w:rFonts w:ascii="Arial" w:cs="Arial" w:eastAsia="Arial" w:hAnsi="Arial"/>
                <w:sz w:val="16"/>
                <w:szCs w:val="16"/>
                <w:i w:val="1"/>
                <w:iCs w:val="1"/>
                <w:color w:val="auto"/>
                <w:w w:val="94"/>
              </w:rPr>
              <w:t>(State or other jurisdiction of</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gridSpan w:val="3"/>
          </w:tcPr>
          <w:p>
            <w:pPr>
              <w:jc w:val="center"/>
              <w:ind w:right="1882"/>
              <w:spacing w:after="0"/>
              <w:rPr>
                <w:sz w:val="20"/>
                <w:szCs w:val="20"/>
                <w:color w:val="auto"/>
              </w:rPr>
            </w:pPr>
            <w:r>
              <w:rPr>
                <w:rFonts w:ascii="Arial" w:cs="Arial" w:eastAsia="Arial" w:hAnsi="Arial"/>
                <w:sz w:val="16"/>
                <w:szCs w:val="16"/>
                <w:i w:val="1"/>
                <w:iCs w:val="1"/>
                <w:color w:val="auto"/>
                <w:w w:val="92"/>
              </w:rPr>
              <w:t>(IRS Employer</w:t>
            </w:r>
          </w:p>
        </w:tc>
      </w:tr>
      <w:tr>
        <w:trPr>
          <w:trHeight w:val="206"/>
        </w:trPr>
        <w:tc>
          <w:tcPr>
            <w:tcW w:w="3960" w:type="dxa"/>
            <w:vAlign w:val="bottom"/>
          </w:tcPr>
          <w:p>
            <w:pPr>
              <w:jc w:val="center"/>
              <w:ind w:left="1600"/>
              <w:spacing w:after="0"/>
              <w:rPr>
                <w:sz w:val="20"/>
                <w:szCs w:val="20"/>
                <w:color w:val="auto"/>
              </w:rPr>
            </w:pPr>
            <w:r>
              <w:rPr>
                <w:rFonts w:ascii="Arial" w:cs="Arial" w:eastAsia="Arial" w:hAnsi="Arial"/>
                <w:sz w:val="16"/>
                <w:szCs w:val="16"/>
                <w:i w:val="1"/>
                <w:iCs w:val="1"/>
                <w:color w:val="auto"/>
                <w:w w:val="96"/>
              </w:rPr>
              <w:t>incorporation or organization)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gridSpan w:val="3"/>
          </w:tcPr>
          <w:p>
            <w:pPr>
              <w:jc w:val="center"/>
              <w:ind w:right="1882"/>
              <w:spacing w:after="0"/>
              <w:rPr>
                <w:sz w:val="20"/>
                <w:szCs w:val="20"/>
                <w:color w:val="auto"/>
              </w:rPr>
            </w:pPr>
            <w:r>
              <w:rPr>
                <w:rFonts w:ascii="Arial" w:cs="Arial" w:eastAsia="Arial" w:hAnsi="Arial"/>
                <w:sz w:val="16"/>
                <w:szCs w:val="16"/>
                <w:i w:val="1"/>
                <w:iCs w:val="1"/>
                <w:color w:val="auto"/>
                <w:w w:val="96"/>
              </w:rPr>
              <w:t>Identification No.)</w:t>
            </w:r>
          </w:p>
        </w:tc>
      </w:tr>
      <w:tr>
        <w:trPr>
          <w:trHeight w:val="182"/>
        </w:trPr>
        <w:tc>
          <w:tcPr>
            <w:tcW w:w="3960" w:type="dxa"/>
            <w:vAlign w:val="bottom"/>
          </w:tcPr>
          <w:p>
            <w:pPr>
              <w:jc w:val="center"/>
              <w:ind w:left="1600"/>
              <w:spacing w:after="0" w:line="181" w:lineRule="exact"/>
              <w:rPr>
                <w:sz w:val="20"/>
                <w:szCs w:val="20"/>
                <w:color w:val="auto"/>
              </w:rPr>
            </w:pPr>
            <w:r>
              <w:rPr>
                <w:rFonts w:ascii="Arial" w:cs="Arial" w:eastAsia="Arial" w:hAnsi="Arial"/>
                <w:sz w:val="16"/>
                <w:szCs w:val="16"/>
                <w:b w:val="1"/>
                <w:bCs w:val="1"/>
                <w:color w:val="auto"/>
                <w:w w:val="89"/>
              </w:rPr>
              <w:t>88 Sidney Street,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jc w:val="right"/>
              <w:ind w:right="2582"/>
              <w:spacing w:after="0" w:line="181" w:lineRule="exact"/>
              <w:rPr>
                <w:sz w:val="20"/>
                <w:szCs w:val="20"/>
                <w:color w:val="auto"/>
              </w:rPr>
            </w:pPr>
            <w:r>
              <w:rPr>
                <w:rFonts w:ascii="Arial" w:cs="Arial" w:eastAsia="Arial" w:hAnsi="Arial"/>
                <w:sz w:val="16"/>
                <w:szCs w:val="16"/>
                <w:b w:val="1"/>
                <w:bCs w:val="1"/>
                <w:color w:val="auto"/>
                <w:w w:val="98"/>
              </w:rPr>
              <w:t>02139</w:t>
            </w:r>
          </w:p>
        </w:tc>
      </w:tr>
      <w:tr>
        <w:trPr>
          <w:trHeight w:val="210"/>
        </w:trPr>
        <w:tc>
          <w:tcPr>
            <w:tcW w:w="3960" w:type="dxa"/>
            <w:vAlign w:val="bottom"/>
          </w:tcPr>
          <w:p>
            <w:pPr>
              <w:jc w:val="center"/>
              <w:ind w:left="1620"/>
              <w:spacing w:after="0"/>
              <w:rPr>
                <w:sz w:val="20"/>
                <w:szCs w:val="20"/>
                <w:color w:val="auto"/>
              </w:rPr>
            </w:pPr>
            <w:r>
              <w:rPr>
                <w:rFonts w:ascii="Arial" w:cs="Arial" w:eastAsia="Arial" w:hAnsi="Arial"/>
                <w:sz w:val="16"/>
                <w:szCs w:val="16"/>
                <w:b w:val="1"/>
                <w:bCs w:val="1"/>
                <w:color w:val="auto"/>
                <w:w w:val="97"/>
              </w:rPr>
              <w:t>Cambridge, MA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7660" w:type="dxa"/>
            <w:vAlign w:val="bottom"/>
            <w:gridSpan w:val="6"/>
          </w:tcPr>
          <w:p>
            <w:pPr>
              <w:jc w:val="center"/>
              <w:ind w:right="2000"/>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440" w:type="dxa"/>
            <w:vAlign w:val="bottom"/>
          </w:tcPr>
          <w:p>
            <w:pPr>
              <w:spacing w:after="0"/>
              <w:rPr>
                <w:sz w:val="18"/>
                <w:szCs w:val="18"/>
                <w:color w:val="auto"/>
              </w:rPr>
            </w:pPr>
          </w:p>
        </w:tc>
        <w:tc>
          <w:tcPr>
            <w:tcW w:w="3320" w:type="dxa"/>
            <w:vAlign w:val="bottom"/>
            <w:gridSpan w:val="2"/>
          </w:tcPr>
          <w:p>
            <w:pPr>
              <w:jc w:val="center"/>
              <w:ind w:right="2322"/>
              <w:spacing w:after="0"/>
              <w:rPr>
                <w:sz w:val="20"/>
                <w:szCs w:val="20"/>
                <w:color w:val="auto"/>
              </w:rPr>
            </w:pPr>
            <w:r>
              <w:rPr>
                <w:rFonts w:ascii="Arial" w:cs="Arial" w:eastAsia="Arial" w:hAnsi="Arial"/>
                <w:sz w:val="16"/>
                <w:szCs w:val="16"/>
                <w:i w:val="1"/>
                <w:iCs w:val="1"/>
                <w:color w:val="auto"/>
                <w:w w:val="95"/>
              </w:rPr>
              <w:t>(Zip Code)</w:t>
            </w:r>
          </w:p>
        </w:tc>
      </w:tr>
      <w:tr>
        <w:trPr>
          <w:trHeight w:val="316"/>
        </w:trPr>
        <w:tc>
          <w:tcPr>
            <w:tcW w:w="3960" w:type="dxa"/>
            <w:vAlign w:val="bottom"/>
          </w:tcPr>
          <w:p>
            <w:pPr>
              <w:spacing w:after="0"/>
              <w:rPr>
                <w:sz w:val="24"/>
                <w:szCs w:val="24"/>
                <w:color w:val="auto"/>
              </w:rPr>
            </w:pPr>
          </w:p>
        </w:tc>
        <w:tc>
          <w:tcPr>
            <w:tcW w:w="3700" w:type="dxa"/>
            <w:vAlign w:val="bottom"/>
            <w:gridSpan w:val="5"/>
          </w:tcPr>
          <w:p>
            <w:pPr>
              <w:jc w:val="center"/>
              <w:ind w:right="200"/>
              <w:spacing w:after="0"/>
              <w:rPr>
                <w:sz w:val="20"/>
                <w:szCs w:val="20"/>
                <w:color w:val="auto"/>
              </w:rPr>
            </w:pPr>
            <w:r>
              <w:rPr>
                <w:rFonts w:ascii="Arial" w:cs="Arial" w:eastAsia="Arial" w:hAnsi="Arial"/>
                <w:sz w:val="16"/>
                <w:szCs w:val="16"/>
                <w:color w:val="auto"/>
                <w:w w:val="91"/>
              </w:rPr>
              <w:t>Registrant’s telephone number, including area code: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93"/>
        </w:trPr>
        <w:tc>
          <w:tcPr>
            <w:tcW w:w="3960" w:type="dxa"/>
            <w:vAlign w:val="bottom"/>
          </w:tcPr>
          <w:p>
            <w:pPr>
              <w:spacing w:after="0"/>
              <w:rPr>
                <w:sz w:val="16"/>
                <w:szCs w:val="16"/>
                <w:color w:val="auto"/>
              </w:rPr>
            </w:pPr>
          </w:p>
        </w:tc>
        <w:tc>
          <w:tcPr>
            <w:tcW w:w="27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(617) 649-8600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6"/>
        </w:trPr>
        <w:tc>
          <w:tcPr>
            <w:tcW w:w="7660" w:type="dxa"/>
            <w:vAlign w:val="bottom"/>
            <w:gridSpan w:val="6"/>
          </w:tcPr>
          <w:p>
            <w:pPr>
              <w:jc w:val="center"/>
              <w:ind w:left="36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43"/>
        </w:trPr>
        <w:tc>
          <w:tcPr>
            <w:tcW w:w="3960" w:type="dxa"/>
            <w:vAlign w:val="bottom"/>
          </w:tcPr>
          <w:p>
            <w:pPr>
              <w:jc w:val="center"/>
              <w:ind w:left="680"/>
              <w:spacing w:after="0"/>
              <w:rPr>
                <w:sz w:val="20"/>
                <w:szCs w:val="20"/>
                <w:color w:val="auto"/>
              </w:rPr>
            </w:pPr>
            <w:r>
              <w:rPr>
                <w:rFonts w:ascii="Arial" w:cs="Arial" w:eastAsia="Arial" w:hAnsi="Arial"/>
                <w:sz w:val="16"/>
                <w:szCs w:val="16"/>
                <w:color w:val="auto"/>
                <w:w w:val="95"/>
              </w:rPr>
              <w:t>Title of Class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3"/>
          </w:tcPr>
          <w:p>
            <w:pPr>
              <w:jc w:val="center"/>
              <w:ind w:right="940"/>
              <w:spacing w:after="0"/>
              <w:rPr>
                <w:sz w:val="20"/>
                <w:szCs w:val="20"/>
                <w:color w:val="auto"/>
              </w:rPr>
            </w:pPr>
            <w:r>
              <w:rPr>
                <w:rFonts w:ascii="Arial" w:cs="Arial" w:eastAsia="Arial" w:hAnsi="Arial"/>
                <w:sz w:val="16"/>
                <w:szCs w:val="16"/>
                <w:color w:val="auto"/>
                <w:w w:val="93"/>
              </w:rPr>
              <w:t>Trading symbol(s)</w:t>
            </w:r>
          </w:p>
        </w:tc>
        <w:tc>
          <w:tcPr>
            <w:tcW w:w="3760" w:type="dxa"/>
            <w:vAlign w:val="bottom"/>
            <w:gridSpan w:val="3"/>
          </w:tcPr>
          <w:p>
            <w:pPr>
              <w:ind w:left="140"/>
              <w:spacing w:after="0"/>
              <w:rPr>
                <w:sz w:val="20"/>
                <w:szCs w:val="20"/>
                <w:color w:val="auto"/>
              </w:rPr>
            </w:pPr>
            <w:r>
              <w:rPr>
                <w:rFonts w:ascii="Arial" w:cs="Arial" w:eastAsia="Arial" w:hAnsi="Arial"/>
                <w:sz w:val="16"/>
                <w:szCs w:val="16"/>
                <w:color w:val="auto"/>
              </w:rPr>
              <w:t>Name of Exchange on Which Registered</w:t>
            </w:r>
          </w:p>
        </w:tc>
      </w:tr>
      <w:tr>
        <w:trPr>
          <w:trHeight w:val="33"/>
        </w:trPr>
        <w:tc>
          <w:tcPr>
            <w:tcW w:w="3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r>
      <w:tr>
        <w:trPr>
          <w:trHeight w:val="217"/>
        </w:trPr>
        <w:tc>
          <w:tcPr>
            <w:tcW w:w="3960" w:type="dxa"/>
            <w:vAlign w:val="bottom"/>
          </w:tcPr>
          <w:p>
            <w:pPr>
              <w:jc w:val="center"/>
              <w:ind w:left="680"/>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rPr>
              <w:t>AGIO</w:t>
            </w:r>
          </w:p>
        </w:tc>
        <w:tc>
          <w:tcPr>
            <w:tcW w:w="4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Nasdaq Global Select Market</w:t>
            </w:r>
          </w:p>
        </w:tc>
      </w:tr>
      <w:tr>
        <w:trPr>
          <w:trHeight w:val="322"/>
        </w:trPr>
        <w:tc>
          <w:tcPr>
            <w:tcW w:w="3960" w:type="dxa"/>
            <w:vAlign w:val="bottom"/>
          </w:tcPr>
          <w:p>
            <w:pPr>
              <w:spacing w:after="0"/>
              <w:rPr>
                <w:sz w:val="20"/>
                <w:szCs w:val="20"/>
                <w:color w:val="auto"/>
              </w:rPr>
            </w:pPr>
            <w:r>
              <w:rPr>
                <w:rFonts w:ascii="Arial" w:cs="Arial" w:eastAsia="Arial" w:hAnsi="Arial"/>
                <w:sz w:val="15"/>
                <w:szCs w:val="15"/>
                <w:color w:val="auto"/>
                <w:w w:val="93"/>
              </w:rPr>
              <w:t xml:space="preserve">Securities registered pursuant to Section 12(g) of the Act: </w:t>
            </w:r>
            <w:r>
              <w:rPr>
                <w:rFonts w:ascii="Arial" w:cs="Arial" w:eastAsia="Arial" w:hAnsi="Arial"/>
                <w:sz w:val="15"/>
                <w:szCs w:val="15"/>
                <w:b w:val="1"/>
                <w:bCs w:val="1"/>
                <w:color w:val="auto"/>
                <w:w w:val="93"/>
              </w:rPr>
              <w:t>None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5"/>
        </w:trPr>
        <w:tc>
          <w:tcPr>
            <w:tcW w:w="7660" w:type="dxa"/>
            <w:vAlign w:val="bottom"/>
            <w:gridSpan w:val="6"/>
          </w:tcPr>
          <w:p>
            <w:pPr>
              <w:ind w:left="340"/>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440" w:type="dxa"/>
            <w:vAlign w:val="bottom"/>
          </w:tcPr>
          <w:p>
            <w:pPr>
              <w:spacing w:after="0" w:line="173" w:lineRule="exact"/>
              <w:rPr>
                <w:sz w:val="20"/>
                <w:szCs w:val="20"/>
                <w:color w:val="auto"/>
              </w:rPr>
            </w:pPr>
            <w:r>
              <w:rPr>
                <w:rFonts w:ascii="Arial" w:cs="Arial" w:eastAsia="Arial" w:hAnsi="Arial"/>
                <w:sz w:val="15"/>
                <w:szCs w:val="15"/>
                <w:color w:val="auto"/>
                <w:w w:val="93"/>
              </w:rPr>
              <w:t xml:space="preserve">Yes </w:t>
            </w:r>
            <w:r>
              <w:rPr>
                <w:rFonts w:ascii="MS PGothic" w:cs="MS PGothic" w:eastAsia="MS PGothic" w:hAnsi="MS PGothic"/>
                <w:sz w:val="15"/>
                <w:szCs w:val="15"/>
                <w:color w:val="auto"/>
                <w:w w:val="93"/>
              </w:rPr>
              <w:t>☑</w:t>
            </w:r>
          </w:p>
        </w:tc>
        <w:tc>
          <w:tcPr>
            <w:tcW w:w="200" w:type="dxa"/>
            <w:vAlign w:val="bottom"/>
          </w:tcPr>
          <w:p>
            <w:pPr>
              <w:spacing w:after="0"/>
              <w:rPr>
                <w:sz w:val="20"/>
                <w:szCs w:val="20"/>
                <w:color w:val="auto"/>
              </w:rPr>
            </w:pPr>
          </w:p>
        </w:tc>
        <w:tc>
          <w:tcPr>
            <w:tcW w:w="3120" w:type="dxa"/>
            <w:vAlign w:val="bottom"/>
          </w:tcPr>
          <w:p>
            <w:pPr>
              <w:ind w:left="10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40"/>
        </w:trPr>
        <w:tc>
          <w:tcPr>
            <w:tcW w:w="7660" w:type="dxa"/>
            <w:vAlign w:val="bottom"/>
            <w:gridSpan w:val="6"/>
          </w:tcPr>
          <w:p>
            <w:pPr>
              <w:ind w:left="340"/>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440" w:type="dxa"/>
            <w:vAlign w:val="bottom"/>
          </w:tcPr>
          <w:p>
            <w:pPr>
              <w:ind w:left="140"/>
              <w:spacing w:after="0"/>
              <w:rPr>
                <w:sz w:val="20"/>
                <w:szCs w:val="20"/>
                <w:color w:val="auto"/>
              </w:rPr>
            </w:pPr>
            <w:r>
              <w:rPr>
                <w:rFonts w:ascii="Arial" w:cs="Arial" w:eastAsia="Arial" w:hAnsi="Arial"/>
                <w:sz w:val="15"/>
                <w:szCs w:val="15"/>
                <w:color w:val="auto"/>
              </w:rPr>
              <w:t>Yes</w:t>
            </w:r>
          </w:p>
        </w:tc>
        <w:tc>
          <w:tcPr>
            <w:tcW w:w="200" w:type="dxa"/>
            <w:vAlign w:val="bottom"/>
          </w:tcPr>
          <w:p>
            <w:pPr>
              <w:spacing w:after="0" w:line="151" w:lineRule="exact"/>
              <w:rPr>
                <w:sz w:val="20"/>
                <w:szCs w:val="20"/>
                <w:color w:val="auto"/>
              </w:rPr>
            </w:pPr>
            <w:r>
              <w:rPr>
                <w:rFonts w:ascii="MS PGothic" w:cs="MS PGothic" w:eastAsia="MS PGothic" w:hAnsi="MS PGothic"/>
                <w:sz w:val="15"/>
                <w:szCs w:val="15"/>
                <w:color w:val="auto"/>
              </w:rPr>
              <w:t>☐</w:t>
            </w:r>
          </w:p>
        </w:tc>
        <w:tc>
          <w:tcPr>
            <w:tcW w:w="3120" w:type="dxa"/>
            <w:vAlign w:val="bottom"/>
          </w:tcPr>
          <w:p>
            <w:pPr>
              <w:ind w:left="2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19" w:lineRule="exact"/>
        <w:rPr>
          <w:sz w:val="24"/>
          <w:szCs w:val="24"/>
          <w:color w:val="auto"/>
        </w:rPr>
      </w:pPr>
    </w:p>
    <w:p>
      <w:pPr>
        <w:ind w:right="300" w:firstLine="324"/>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firstLine="324"/>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1940" w:type="dxa"/>
            <w:vAlign w:val="bottom"/>
          </w:tcPr>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tc>
        <w:tc>
          <w:tcPr>
            <w:tcW w:w="1940" w:type="dxa"/>
            <w:vAlign w:val="bottom"/>
          </w:tcPr>
          <w:p>
            <w:pPr>
              <w:ind w:left="36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tc>
        <w:tc>
          <w:tcPr>
            <w:tcW w:w="3100" w:type="dxa"/>
            <w:vAlign w:val="bottom"/>
          </w:tcPr>
          <w:p>
            <w:pPr>
              <w:ind w:left="3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tc>
        <w:tc>
          <w:tcPr>
            <w:tcW w:w="2600" w:type="dxa"/>
            <w:vAlign w:val="bottom"/>
          </w:tcPr>
          <w:p>
            <w:pPr>
              <w:ind w:left="1260"/>
              <w:spacing w:after="0"/>
              <w:rPr>
                <w:sz w:val="20"/>
                <w:szCs w:val="20"/>
                <w:color w:val="auto"/>
              </w:rPr>
            </w:pPr>
            <w:r>
              <w:rPr>
                <w:rFonts w:ascii="Arial" w:cs="Arial" w:eastAsia="Arial" w:hAnsi="Arial"/>
                <w:sz w:val="15"/>
                <w:szCs w:val="15"/>
                <w:color w:val="auto"/>
              </w:rPr>
              <w:t>Smaller reporting</w:t>
            </w:r>
          </w:p>
        </w:tc>
        <w:tc>
          <w:tcPr>
            <w:tcW w:w="1340" w:type="dxa"/>
            <w:vAlign w:val="bottom"/>
          </w:tcPr>
          <w:p>
            <w:pPr>
              <w:ind w:left="280"/>
              <w:spacing w:after="0"/>
              <w:rPr>
                <w:sz w:val="20"/>
                <w:szCs w:val="20"/>
                <w:color w:val="auto"/>
              </w:rPr>
            </w:pPr>
            <w:r>
              <w:rPr>
                <w:rFonts w:ascii="Arial" w:cs="Arial" w:eastAsia="Arial" w:hAnsi="Arial"/>
                <w:sz w:val="15"/>
                <w:szCs w:val="15"/>
                <w:color w:val="auto"/>
                <w:w w:val="91"/>
              </w:rPr>
              <w:t>Emerging growth</w:t>
            </w:r>
          </w:p>
        </w:tc>
      </w:tr>
      <w:tr>
        <w:trPr>
          <w:trHeight w:val="240"/>
        </w:trPr>
        <w:tc>
          <w:tcPr>
            <w:tcW w:w="1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0" w:type="dxa"/>
            <w:vAlign w:val="bottom"/>
          </w:tcPr>
          <w:p>
            <w:pPr>
              <w:ind w:left="1260"/>
              <w:spacing w:after="0" w:line="173" w:lineRule="exact"/>
              <w:rPr>
                <w:sz w:val="20"/>
                <w:szCs w:val="20"/>
                <w:color w:val="auto"/>
              </w:rPr>
            </w:pPr>
            <w:r>
              <w:rPr>
                <w:rFonts w:ascii="Arial" w:cs="Arial" w:eastAsia="Arial" w:hAnsi="Arial"/>
                <w:sz w:val="15"/>
                <w:szCs w:val="15"/>
                <w:color w:val="auto"/>
              </w:rPr>
              <w:t xml:space="preserve">company </w:t>
            </w:r>
            <w:r>
              <w:rPr>
                <w:rFonts w:ascii="MS PGothic" w:cs="MS PGothic" w:eastAsia="MS PGothic" w:hAnsi="MS PGothic"/>
                <w:sz w:val="15"/>
                <w:szCs w:val="15"/>
                <w:color w:val="auto"/>
              </w:rPr>
              <w:t>☐</w:t>
            </w:r>
          </w:p>
        </w:tc>
        <w:tc>
          <w:tcPr>
            <w:tcW w:w="1340" w:type="dxa"/>
            <w:vAlign w:val="bottom"/>
          </w:tcPr>
          <w:p>
            <w:pPr>
              <w:ind w:left="280"/>
              <w:spacing w:after="0" w:line="173" w:lineRule="exact"/>
              <w:rPr>
                <w:sz w:val="20"/>
                <w:szCs w:val="20"/>
                <w:color w:val="auto"/>
              </w:rPr>
            </w:pPr>
            <w:r>
              <w:rPr>
                <w:rFonts w:ascii="Arial" w:cs="Arial" w:eastAsia="Arial" w:hAnsi="Arial"/>
                <w:sz w:val="15"/>
                <w:szCs w:val="15"/>
                <w:color w:val="auto"/>
              </w:rPr>
              <w:t xml:space="preserve">company </w:t>
            </w:r>
            <w:r>
              <w:rPr>
                <w:rFonts w:ascii="MS PGothic" w:cs="MS PGothic" w:eastAsia="MS PGothic" w:hAnsi="MS PGothic"/>
                <w:sz w:val="15"/>
                <w:szCs w:val="15"/>
                <w:color w:val="auto"/>
              </w:rPr>
              <w:t>☐</w:t>
            </w:r>
          </w:p>
        </w:tc>
      </w:tr>
    </w:tbl>
    <w:p>
      <w:pPr>
        <w:spacing w:after="0" w:line="125" w:lineRule="exact"/>
        <w:rPr>
          <w:sz w:val="24"/>
          <w:szCs w:val="24"/>
          <w:color w:val="auto"/>
        </w:rPr>
      </w:pPr>
    </w:p>
    <w:p>
      <w:pPr>
        <w:jc w:val="both"/>
        <w:ind w:right="460" w:firstLine="324"/>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40"/>
        <w:spacing w:after="0" w:line="173" w:lineRule="exact"/>
        <w:tabs>
          <w:tab w:leader="none" w:pos="6760" w:val="left"/>
          <w:tab w:leader="none" w:pos="75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76" w:lineRule="exact"/>
        <w:rPr>
          <w:sz w:val="24"/>
          <w:szCs w:val="24"/>
          <w:color w:val="auto"/>
        </w:rPr>
      </w:pPr>
    </w:p>
    <w:p>
      <w:pPr>
        <w:ind w:right="360" w:firstLine="324"/>
        <w:spacing w:after="0" w:line="274"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computed by reference to the price of the registrant’s Common Stock as of June 28, 2019 (based on the last reported sale price on the Nasdaq Global Select Market as of such date) was $2,563,418,196.</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February 13, 2020, there were 68,513,573 shares of Common Stock, $0.001 par value per share, outstanding.</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0" w:lineRule="exact"/>
        <w:rPr>
          <w:sz w:val="24"/>
          <w:szCs w:val="24"/>
          <w:color w:val="auto"/>
        </w:rPr>
      </w:pPr>
    </w:p>
    <w:p>
      <w:pPr>
        <w:ind w:right="600" w:firstLine="324"/>
        <w:spacing w:after="0" w:line="311"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to be filed pursuant to Regulation 14A within 120 days of the end of the registrant’s fiscal year ended December 31, 2019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40" w:type="dxa"/>
            <w:vAlign w:val="bottom"/>
            <w:gridSpan w:val="3"/>
          </w:tcPr>
          <w:p>
            <w:pPr>
              <w:ind w:left="158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40" w:type="dxa"/>
            <w:vAlign w:val="bottom"/>
            <w:gridSpan w:val="3"/>
          </w:tcPr>
          <w:p>
            <w:pPr>
              <w:ind w:left="16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306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3740" w:type="dxa"/>
            <w:vAlign w:val="bottom"/>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tcPr>
          <w:p>
            <w:pPr>
              <w:spacing w:after="0"/>
              <w:rPr>
                <w:sz w:val="21"/>
                <w:szCs w:val="21"/>
                <w:color w:val="auto"/>
              </w:rPr>
            </w:pPr>
          </w:p>
        </w:tc>
        <w:tc>
          <w:tcPr>
            <w:tcW w:w="2580" w:type="dxa"/>
            <w:vAlign w:val="bottom"/>
          </w:tcPr>
          <w:p>
            <w:pPr>
              <w:spacing w:after="0"/>
              <w:rPr>
                <w:sz w:val="21"/>
                <w:szCs w:val="21"/>
                <w:color w:val="auto"/>
              </w:rPr>
            </w:pPr>
          </w:p>
        </w:tc>
        <w:tc>
          <w:tcPr>
            <w:tcW w:w="30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6900" w:type="dxa"/>
            <w:vAlign w:val="bottom"/>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30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20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Unresolved Staff Comments</w:t>
              </w:r>
            </w:hyperlink>
          </w:p>
        </w:tc>
        <w:tc>
          <w:tcPr>
            <w:tcW w:w="4840" w:type="dxa"/>
            <w:vAlign w:val="bottom"/>
            <w:gridSpan w:val="3"/>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72">
              <w:r>
                <w:rPr>
                  <w:rFonts w:ascii="Arial" w:cs="Arial" w:eastAsia="Arial" w:hAnsi="Arial"/>
                  <w:sz w:val="18"/>
                  <w:szCs w:val="18"/>
                  <w:color w:val="0000FF"/>
                  <w:w w:val="87"/>
                </w:rPr>
                <w:t>Properties</w:t>
              </w:r>
            </w:hyperlink>
          </w:p>
        </w:tc>
        <w:tc>
          <w:tcPr>
            <w:tcW w:w="6160" w:type="dxa"/>
            <w:vAlign w:val="bottom"/>
            <w:gridSpan w:val="7"/>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72">
              <w:r>
                <w:rPr>
                  <w:rFonts w:ascii="Arial" w:cs="Arial" w:eastAsia="Arial" w:hAnsi="Arial"/>
                  <w:sz w:val="18"/>
                  <w:szCs w:val="18"/>
                  <w:color w:val="0000FF"/>
                  <w:w w:val="88"/>
                </w:rPr>
                <w:t>Legal Proceedings</w:t>
              </w:r>
            </w:hyperlink>
          </w:p>
        </w:tc>
        <w:tc>
          <w:tcPr>
            <w:tcW w:w="5560" w:type="dxa"/>
            <w:vAlign w:val="bottom"/>
            <w:gridSpan w:val="5"/>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Mine Safety Disclosures</w:t>
              </w:r>
            </w:hyperlink>
          </w:p>
        </w:tc>
        <w:tc>
          <w:tcPr>
            <w:tcW w:w="5120" w:type="dxa"/>
            <w:vAlign w:val="bottom"/>
            <w:gridSpan w:val="4"/>
          </w:tcPr>
          <w:p>
            <w:pPr>
              <w:spacing w:after="0"/>
              <w:rPr>
                <w:sz w:val="21"/>
                <w:szCs w:val="21"/>
                <w:color w:val="auto"/>
              </w:rPr>
            </w:pPr>
          </w:p>
        </w:tc>
        <w:tc>
          <w:tcPr>
            <w:tcW w:w="28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71</w:t>
              </w:r>
            </w:hyperlink>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500"/>
        <w:spacing w:after="0"/>
        <w:rPr>
          <w:rFonts w:ascii="Arial" w:cs="Arial" w:eastAsia="Arial" w:hAnsi="Arial"/>
          <w:sz w:val="18"/>
          <w:szCs w:val="18"/>
          <w:b w:val="1"/>
          <w:bCs w:val="1"/>
          <w:u w:val="single" w:color="auto"/>
          <w:color w:val="0000FF"/>
        </w:rPr>
      </w:pPr>
      <w:hyperlink w:anchor="page73">
        <w:r>
          <w:rPr>
            <w:rFonts w:ascii="Arial" w:cs="Arial" w:eastAsia="Arial" w:hAnsi="Arial"/>
            <w:sz w:val="18"/>
            <w:szCs w:val="18"/>
            <w:b w:val="1"/>
            <w:bCs w:val="1"/>
            <w:u w:val="single" w:color="auto"/>
            <w:color w:val="0000FF"/>
          </w:rPr>
          <w:t>PART II</w:t>
        </w:r>
      </w:hyperlink>
    </w:p>
    <w:p>
      <w:pPr>
        <w:sectPr>
          <w:pgSz w:w="11900" w:h="16838" w:orient="portrait"/>
          <w:cols w:equalWidth="0" w:num="1">
            <w:col w:w="11380"/>
          </w:cols>
          <w:pgMar w:left="240" w:top="121" w:right="27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5.</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Item 7A.</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Item 9A.</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780" w:type="dxa"/>
            <w:vAlign w:val="bottom"/>
            <w:gridSpan w:val="1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Market for Registrant’s Common Equity, Related Stockholder Matters and Issuer Purchases of Equity</w:t>
              </w:r>
            </w:hyperlink>
          </w:p>
        </w:tc>
        <w:tc>
          <w:tcPr>
            <w:tcW w:w="180" w:type="dxa"/>
            <w:vAlign w:val="bottom"/>
            <w:vMerge w:val="restart"/>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72</w:t>
              </w:r>
            </w:hyperlink>
          </w:p>
        </w:tc>
        <w:tc>
          <w:tcPr>
            <w:tcW w:w="0" w:type="dxa"/>
            <w:vAlign w:val="bottom"/>
          </w:tcPr>
          <w:p>
            <w:pPr>
              <w:spacing w:after="0"/>
              <w:rPr>
                <w:sz w:val="1"/>
                <w:szCs w:val="1"/>
                <w:color w:val="auto"/>
              </w:rPr>
            </w:pPr>
          </w:p>
        </w:tc>
      </w:tr>
      <w:tr>
        <w:trPr>
          <w:trHeight w:val="156"/>
        </w:trPr>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74">
              <w:r>
                <w:rPr>
                  <w:rFonts w:ascii="Arial" w:cs="Arial" w:eastAsia="Arial" w:hAnsi="Arial"/>
                  <w:sz w:val="18"/>
                  <w:szCs w:val="18"/>
                  <w:color w:val="0000FF"/>
                  <w:w w:val="88"/>
                </w:rPr>
                <w:t>Securities</w:t>
              </w:r>
            </w:hyperlink>
          </w:p>
        </w:tc>
        <w:tc>
          <w:tcPr>
            <w:tcW w:w="6600" w:type="dxa"/>
            <w:vAlign w:val="bottom"/>
            <w:tcBorders>
              <w:top w:val="single" w:sz="8" w:color="0000FF"/>
            </w:tcBorders>
            <w:gridSpan w:val="8"/>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780" w:type="dxa"/>
            <w:vAlign w:val="bottom"/>
            <w:gridSpan w:val="1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Selected Consolidated Financial Data</w:t>
              </w:r>
            </w:hyperlink>
          </w:p>
        </w:tc>
        <w:tc>
          <w:tcPr>
            <w:tcW w:w="180" w:type="dxa"/>
            <w:vAlign w:val="bottom"/>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74</w:t>
              </w:r>
            </w:hyperlink>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gridSpan w:val="10"/>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Management’s Discussion and Analysis of Financial Condition and Results of Operations</w:t>
              </w:r>
            </w:hyperlink>
          </w:p>
        </w:tc>
        <w:tc>
          <w:tcPr>
            <w:tcW w:w="180" w:type="dxa"/>
            <w:vAlign w:val="bottom"/>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75</w:t>
              </w:r>
            </w:hyperlink>
          </w:p>
        </w:tc>
        <w:tc>
          <w:tcPr>
            <w:tcW w:w="0" w:type="dxa"/>
            <w:vAlign w:val="bottom"/>
          </w:tcPr>
          <w:p>
            <w:pPr>
              <w:spacing w:after="0"/>
              <w:rPr>
                <w:sz w:val="1"/>
                <w:szCs w:val="1"/>
                <w:color w:val="auto"/>
              </w:rPr>
            </w:pPr>
          </w:p>
        </w:tc>
      </w:tr>
      <w:tr>
        <w:trPr>
          <w:trHeight w:val="250"/>
        </w:trPr>
        <w:tc>
          <w:tcPr>
            <w:tcW w:w="4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tcPr>
          <w:p>
            <w:pPr>
              <w:spacing w:after="0"/>
              <w:rPr>
                <w:sz w:val="21"/>
                <w:szCs w:val="21"/>
                <w:color w:val="auto"/>
              </w:rPr>
            </w:pPr>
          </w:p>
        </w:tc>
        <w:tc>
          <w:tcPr>
            <w:tcW w:w="332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50"/>
        </w:trPr>
        <w:tc>
          <w:tcPr>
            <w:tcW w:w="33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Financial Statements and Supplementary Data</w:t>
              </w:r>
            </w:hyperlink>
          </w:p>
        </w:tc>
        <w:tc>
          <w:tcPr>
            <w:tcW w:w="644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50"/>
        </w:trPr>
        <w:tc>
          <w:tcPr>
            <w:tcW w:w="9780" w:type="dxa"/>
            <w:vAlign w:val="bottom"/>
            <w:gridSpan w:val="10"/>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Changes in and Disagreements with Accountants on Accounting and Financial Disclosure</w:t>
              </w:r>
            </w:hyperlink>
          </w:p>
        </w:tc>
        <w:tc>
          <w:tcPr>
            <w:tcW w:w="180" w:type="dxa"/>
            <w:vAlign w:val="bottom"/>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50"/>
        </w:trPr>
        <w:tc>
          <w:tcPr>
            <w:tcW w:w="1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5"/>
          </w:tcPr>
          <w:p>
            <w:pPr>
              <w:spacing w:after="0"/>
              <w:rPr>
                <w:sz w:val="21"/>
                <w:szCs w:val="21"/>
                <w:color w:val="auto"/>
              </w:rPr>
            </w:pPr>
          </w:p>
        </w:tc>
        <w:tc>
          <w:tcPr>
            <w:tcW w:w="330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50"/>
        </w:trPr>
        <w:tc>
          <w:tcPr>
            <w:tcW w:w="13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Other Information</w:t>
              </w:r>
            </w:hyperlink>
          </w:p>
        </w:tc>
        <w:tc>
          <w:tcPr>
            <w:tcW w:w="8460" w:type="dxa"/>
            <w:vAlign w:val="bottom"/>
            <w:gridSpan w:val="8"/>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660"/>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III</w:t>
        </w:r>
      </w:hyperlink>
    </w:p>
    <w:p>
      <w:pPr>
        <w:spacing w:after="0" w:line="94" w:lineRule="exact"/>
        <w:rPr>
          <w:sz w:val="20"/>
          <w:szCs w:val="20"/>
          <w:color w:val="auto"/>
        </w:rPr>
      </w:pPr>
    </w:p>
    <w:p>
      <w:pPr>
        <w:sectPr>
          <w:pgSz w:w="11900" w:h="16838" w:orient="portrait"/>
          <w:cols w:equalWidth="0" w:num="2">
            <w:col w:w="700" w:space="720"/>
            <w:col w:w="9960"/>
          </w:cols>
          <w:pgMar w:left="240" w:top="121" w:right="27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13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Directors, Executive Officers and Corporate Governance</w:t>
              </w:r>
            </w:hyperlink>
          </w:p>
        </w:tc>
        <w:tc>
          <w:tcPr>
            <w:tcW w:w="568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11.</w:t>
            </w:r>
          </w:p>
        </w:tc>
        <w:tc>
          <w:tcPr>
            <w:tcW w:w="978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Executive Compensation</w:t>
              </w:r>
            </w:hyperlink>
          </w:p>
        </w:tc>
        <w:tc>
          <w:tcPr>
            <w:tcW w:w="180" w:type="dxa"/>
            <w:vAlign w:val="bottom"/>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Item 12.</w:t>
            </w:r>
          </w:p>
        </w:tc>
        <w:tc>
          <w:tcPr>
            <w:tcW w:w="1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73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Security Ownership of Certain Beneficial Owners and Management and Related Stockholder Matters</w:t>
              </w:r>
            </w:hyperlink>
          </w:p>
        </w:tc>
        <w:tc>
          <w:tcPr>
            <w:tcW w:w="24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Certain Relationships and Related Transactions, and Director Independence</w:t>
              </w:r>
            </w:hyperlink>
          </w:p>
        </w:tc>
        <w:tc>
          <w:tcPr>
            <w:tcW w:w="432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14.</w:t>
            </w:r>
          </w:p>
        </w:tc>
        <w:tc>
          <w:tcPr>
            <w:tcW w:w="9780" w:type="dxa"/>
            <w:vAlign w:val="bottom"/>
            <w:gridSpan w:val="1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Principal Accounting Fees and Services</w:t>
              </w:r>
            </w:hyperlink>
          </w:p>
        </w:tc>
        <w:tc>
          <w:tcPr>
            <w:tcW w:w="180" w:type="dxa"/>
            <w:vAlign w:val="bottom"/>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91</w:t>
              </w:r>
            </w:hyperlink>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15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08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120" w:type="dxa"/>
            <w:vAlign w:val="bottom"/>
            <w:gridSpan w:val="5"/>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PART IV</w:t>
              </w:r>
            </w:hyperlink>
          </w:p>
        </w:tc>
        <w:tc>
          <w:tcPr>
            <w:tcW w:w="18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Item 15.</w:t>
            </w:r>
          </w:p>
        </w:tc>
        <w:tc>
          <w:tcPr>
            <w:tcW w:w="3660" w:type="dxa"/>
            <w:vAlign w:val="bottom"/>
            <w:gridSpan w:val="5"/>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Exhibits and Financial Statement Schedules</w:t>
              </w:r>
            </w:hyperlink>
          </w:p>
        </w:tc>
        <w:tc>
          <w:tcPr>
            <w:tcW w:w="720" w:type="dxa"/>
            <w:vAlign w:val="bottom"/>
            <w:tcBorders>
              <w:top w:val="single" w:sz="8" w:color="0000FF"/>
            </w:tcBorders>
            <w:gridSpan w:val="2"/>
          </w:tcPr>
          <w:p>
            <w:pPr>
              <w:spacing w:after="0"/>
              <w:rPr>
                <w:sz w:val="24"/>
                <w:szCs w:val="24"/>
                <w:color w:val="auto"/>
              </w:rPr>
            </w:pPr>
          </w:p>
        </w:tc>
        <w:tc>
          <w:tcPr>
            <w:tcW w:w="5400" w:type="dxa"/>
            <w:vAlign w:val="bottom"/>
            <w:gridSpan w:val="3"/>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w w:val="79"/>
              </w:rPr>
            </w:pPr>
            <w:hyperlink w:anchor="page94">
              <w:r>
                <w:rPr>
                  <w:rFonts w:ascii="Arial" w:cs="Arial" w:eastAsia="Arial" w:hAnsi="Arial"/>
                  <w:sz w:val="18"/>
                  <w:szCs w:val="18"/>
                  <w:color w:val="0000FF"/>
                  <w:w w:val="79"/>
                </w:rPr>
                <w:t>92</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Form 10-K Summary</w:t>
              </w:r>
            </w:hyperlink>
          </w:p>
        </w:tc>
        <w:tc>
          <w:tcPr>
            <w:tcW w:w="1600" w:type="dxa"/>
            <w:vAlign w:val="bottom"/>
            <w:tcBorders>
              <w:top w:val="single" w:sz="8" w:color="0000FF"/>
            </w:tcBorders>
            <w:gridSpan w:val="3"/>
          </w:tcPr>
          <w:p>
            <w:pPr>
              <w:spacing w:after="0"/>
              <w:rPr>
                <w:sz w:val="21"/>
                <w:szCs w:val="21"/>
                <w:color w:val="auto"/>
              </w:rPr>
            </w:pPr>
          </w:p>
        </w:tc>
        <w:tc>
          <w:tcPr>
            <w:tcW w:w="6620" w:type="dxa"/>
            <w:vAlign w:val="bottom"/>
            <w:gridSpan w:val="6"/>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Agios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this Annual Report on Form 10-K, “we,” “us,” and “our,” and similar expressions, except where the context requires otherwise, refer to Agios Pharmaceuticals, Inc. and its consolidated subsidiaries, and “our board of directors” refers to the board of directors of Agios Pharmaceuticals,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and objectives of management, are forward-looking statements. The words “anticipate,” “believe,” “estimate,” “expect,” “goal,” “intend,” “may,” “plan,” “predict,” “project,” “strategy,” “target,” “potential,” “will,” “would,” “could,” “should,” “continue,” "vision" and similar expressions are intended to identify forward-looking statements, although not all forward-looking statements contain these identifying words.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regarding:</w:t>
      </w:r>
    </w:p>
    <w:p>
      <w:pPr>
        <w:spacing w:after="0" w:line="11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current and future preclinical studies and clinical trials, and our research and development programs;</w:t>
      </w:r>
    </w:p>
    <w:p>
      <w:pPr>
        <w:spacing w:after="0" w:line="74" w:lineRule="exact"/>
        <w:rPr>
          <w:rFonts w:ascii="Arial" w:cs="Arial" w:eastAsia="Arial" w:hAnsi="Arial"/>
          <w:sz w:val="17"/>
          <w:szCs w:val="17"/>
          <w:color w:val="auto"/>
        </w:rPr>
      </w:pPr>
    </w:p>
    <w:p>
      <w:pPr>
        <w:ind w:left="500" w:right="2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isocitrate dehydrogenase 1 and 2, or IDH1 and IDH2, respectively, mutations, pyruvate kinase-R, or PKR, methionine adenosyltransferase 2a, or MAT2A, and dihydroorotate dehydrogenase, or DHODH, as therapeutic targets;</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product and product candidates targeting IDH1 or IDH2 mutations, pyruvate kinase-R, MAT2A or DHODH, including TIBSOVO® (ivosidenib), IDHIFA® (enasidenib), vorasidenib, mitapivat, AG-270 and AG-636;</w:t>
      </w:r>
    </w:p>
    <w:p>
      <w:pPr>
        <w:spacing w:after="0" w:line="8" w:lineRule="exact"/>
        <w:rPr>
          <w:rFonts w:ascii="Arial" w:cs="Arial" w:eastAsia="Arial" w:hAnsi="Arial"/>
          <w:sz w:val="18"/>
          <w:szCs w:val="18"/>
          <w:color w:val="auto"/>
        </w:rPr>
      </w:pPr>
    </w:p>
    <w:p>
      <w:pPr>
        <w:ind w:left="500" w:hanging="492"/>
        <w:spacing w:after="0" w:line="317" w:lineRule="auto"/>
        <w:tabs>
          <w:tab w:leader="none" w:pos="49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our ability to successfully commercialize TIBSOVO® and successfully commercialize IDHIFA® with our partner Celgene Corporation, or Celgene, a wholly-owned subsidiary of Bristol-Myers Squibb Company, or BMS;</w:t>
      </w: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collaborations with Celgene and CStone Pharmaceuticals, or CStone;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or obtain additional funding;</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w:t>
      </w:r>
    </w:p>
    <w:p>
      <w:pPr>
        <w:spacing w:after="0" w:line="63" w:lineRule="exact"/>
        <w:rPr>
          <w:rFonts w:ascii="Arial" w:cs="Arial" w:eastAsia="Arial" w:hAnsi="Arial"/>
          <w:sz w:val="18"/>
          <w:szCs w:val="18"/>
          <w:color w:val="auto"/>
        </w:rPr>
      </w:pPr>
    </w:p>
    <w:p>
      <w:pPr>
        <w:ind w:left="1140" w:hanging="484"/>
        <w:spacing w:after="0" w:line="298" w:lineRule="auto"/>
        <w:tabs>
          <w:tab w:leader="none" w:pos="115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Marketing Authorization Application, or MAA, that we submitted in December 2018 to the European Medicines Agency, or EMA, for TIBSOVO® for the treatment of adult patients with relapsed or refractory acute myeloid leukemia, or R/R AML, with an IDH1 mutation;</w:t>
      </w:r>
    </w:p>
    <w:p>
      <w:pPr>
        <w:ind w:left="1140" w:right="20" w:hanging="484"/>
        <w:spacing w:after="0" w:line="277" w:lineRule="auto"/>
        <w:tabs>
          <w:tab w:leader="none" w:pos="113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supplemental new drug application, or sNDA, for TIBSOVO® for previously treated IDH1 mutant-positive cholangiocarcinoma that we expect to submit to the U.S. Food and Drug Administration, or FDA, by the end of 2020;</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vision for 2025;</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this Annual Report on Form 10-K completely and with the understanding that our actual future results may be materially different from what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 We do not assume any obligation to update any forward-looking statements,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biopharmaceutical company committed to the fundamental transformation of patients’ lives through scientific leadership in the field of cellular metabolism and adjacent areas of biology, with the goal of creating differentiated, small molecule medicines for patients in the areas of hematologic malignancies, solid tumors and rare genetic diseases, or RGDs. To address these focus areas, we take a systems biology approach to deeply understand disease states, drive the discovery and validation of novel therapeutic targets, and define patient selection strategies, thereby increasing the probability that our experimental medicines will have the desired therapeutic effect.</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wholly-owned product, TIBSOVO® (ivosidenib) is an oral targeted inhibitor of the mutated isocitrate dehydrogenase 1, or IDH1 enzyme. TIBSOVO® is the first and only U.S. Food and Drug Administration, or FDA-approved therapy for the treatment of adult patients with (i) relapsed or refractory acute myeloid leukemia, or R/R AML, with a susceptible IDH1 mutation as detected by an FDA-approved test (approved by the FDA in July 2018) and (ii) newly diagnosed AML with a susceptible IDH1 mutation as detected by an FDA-approved test who are at least 75 years old or who have comorbidities that preclude use of intensive induction chemotherapy (approved by the FDA in May 2019). In December 2018, we submitted an Marketing Authorization Application, or MAA, to the European Medicines Agency, or EMA, for TIBSOVO® for the treatment of adult patients with R/R AML with an IDH1 mutation. In addition, we are currently evaluating ivosidenib in the clinical trials described below.</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other marketed product is IDHIFA® (enasidenib), an oral targeted inhibitor of the mutated isocitrate dehydrogenase 2, or IDH2 enzyme and the first and only FDA-approved therapy for patients with R/R AML and an IDH2 mutation. In August 2017, the FDA granted our collaboration partner Celgene approval of IDHIFA® for the treatment of adult patients with R/R AML and an IDH2, mutation as detected by an FDA-approved test. We are eligible to receive royalties at tiered low-double digit to mid-teen percentage rates on any net sales of IDHIFA® and have exercised our rights to provide up to one-third of the field-based commercialization efforts in the United States. In June 2018, Celgene submitted an MAA to the EMA for IDHIFA® for IDH2 mutant-positive AML which it subsequently withdrew in December 2019. In addition, we and Celgene are currently evaluating enasidenib in the clinical trials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pre-commercial clinical cancer product candidates are vorasidenib, AG-270, and AG-636.</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Vorasidenib is an orally available, selective brain-penetrant pan-IDH mutant inhibitor. We are developing vorasidenib for the treatment of IDH mutant-positive low grade glioma and are currently evaluating vorasidenib in the clinical trials described below.</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AG-270 is an orally available selective potent inhibitor of methionine adenosyltransferase 2a, or MAT2A. We are currently evaluating AG-270 in a phase 1 dose-escalation and expansion trial in multiple tumor types carrying a methylthioadenosine phosphorylase, or MTAP, deletion, described below.</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AG-636 is an inhibitor of the metabolic enzyme dihydroorotate dehydrogenase, or DHODH. We are currently evaluating AG-636 in the phase 1 dose-escalation trial in lymphoma described below.</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lead product candidate in our RGD portfolio, mitapivat, is an activator of both wild-type and mutant pyruvate kinase-R for the potential treatment of hemolytic anemias. We are currently evaluating mitapivat for the treatment of pyruvate kinase, or PK, deficiency, thalassemia and sickle cell disease, or SCD, in the clinical trials described below.</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aforementioned development programs, we are seeking to advance a number of early-stage discovery programs in our focus areas of malignant hematology, solid tumors and RGDs based on our scientific leadership in the field of cellular metabolism and adjacent areas of biology.</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approach to drug discovery involves collaboration across our core capabilities in bioinformatics, functional genomics, proteomics and metabolomics. We leverage these capabilities to identify under-researched targets, validate these targets using genetic and chemical approaches, and advance them rapidly into and through drug discovery. We believe that we have established state-of-the-art capabilities to study and drug metabolic targets including our ability to measure the activities of numerous metabolites in cells or tissues in a high throughput fashion, and measure metabolic fluxes. This refers to the analysis of how metabolites, which are intermediates or small molecule products of metabolism, accumulate or diminish as they are created or chemically altered by multiple networks of metabolic enzymes. Through our historic efforts to drug metabolic enzymes we have established strong capabilities in the enzymology and structural biology of metabolic enzymes, facilitating our drug discovery efforts.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focus on the identification, validation, and drugging of targets with compelling patient selection biomarkers and robust pharmacodynamic readouts, thus increasing the potential for establishing proof of concept early in clinical development, along with the potential for accelerated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Long Term Goals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aim to build a sustainable, multi-product company, based on our expertise in cellular metabolism and adjacent biology that creates differentiated, small molecule medicines for patients in the areas of malignant hematology, solid tumors and RGDs. Key elements of our strategy include:</w:t>
      </w:r>
    </w:p>
    <w:p>
      <w:pPr>
        <w:spacing w:after="0" w:line="38" w:lineRule="exact"/>
        <w:rPr>
          <w:sz w:val="20"/>
          <w:szCs w:val="20"/>
          <w:color w:val="auto"/>
        </w:rPr>
      </w:pPr>
    </w:p>
    <w:p>
      <w:pPr>
        <w:ind w:left="50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a preeminent independent biopharmaceutical company by aggressively pursuing the discovery, development and commercialization of novel medicines to transform the lives of patients with hematological malignancies, solid tumors and RGDs.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our focus on bio-marker driven drug discovery and development for defined patient subsets with high unmet need.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Collaborating closely with the FDA and other regulatory bodies to aggressively pursue early registration potential for our product candidates.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long term strategy, we have developed and articulated a strategic vision that delineates our view for growth over the next six years, which we call “Agios 2025.” Under this plan, by the end of 2025, our goal is to have four marketed medicines discovered and developed by us, with regulatory approvals in at least eight indications spanning hematologic malignancies, solid tumors and RGDs; to have at least six molecules in clinical development fueled by our internal research discovery engine; and to become cash flow positive.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Guiding Principles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driven by a disciplined focus on developing medicines that transform the lives of patients with hematological malignancies, solid tumors and RGDs. We maintain a culture of high integrity that embraces the following guiding principles, which we believe will provide long-term benefits for all our stakeholders:</w:t>
      </w:r>
    </w:p>
    <w:p>
      <w:pPr>
        <w:spacing w:after="0" w:line="73" w:lineRule="exact"/>
        <w:rPr>
          <w:sz w:val="20"/>
          <w:szCs w:val="20"/>
          <w:color w:val="auto"/>
        </w:rPr>
      </w:pPr>
    </w:p>
    <w:p>
      <w:pPr>
        <w:ind w:left="560" w:hanging="48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 the science and do what is right for patients.</w:t>
      </w:r>
    </w:p>
    <w:p>
      <w:pPr>
        <w:spacing w:after="0" w:line="63" w:lineRule="exact"/>
        <w:rPr>
          <w:rFonts w:ascii="Arial" w:cs="Arial" w:eastAsia="Arial" w:hAnsi="Arial"/>
          <w:sz w:val="18"/>
          <w:szCs w:val="18"/>
          <w:color w:val="auto"/>
        </w:rPr>
      </w:pPr>
    </w:p>
    <w:p>
      <w:pPr>
        <w:ind w:left="560" w:hanging="48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culture of incisive decision-making driven by deep scientific interrogation and respectful irreverence.</w:t>
      </w:r>
    </w:p>
    <w:p>
      <w:pPr>
        <w:spacing w:after="0" w:line="63" w:lineRule="exact"/>
        <w:rPr>
          <w:rFonts w:ascii="Arial" w:cs="Arial" w:eastAsia="Arial" w:hAnsi="Arial"/>
          <w:sz w:val="18"/>
          <w:szCs w:val="18"/>
          <w:color w:val="auto"/>
        </w:rPr>
      </w:pPr>
    </w:p>
    <w:p>
      <w:pPr>
        <w:ind w:left="560" w:hanging="48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 a collaborative spirit that includes all employees regardless of function or level.</w:t>
      </w:r>
    </w:p>
    <w:p>
      <w:pPr>
        <w:spacing w:after="0" w:line="63" w:lineRule="exact"/>
        <w:rPr>
          <w:rFonts w:ascii="Arial" w:cs="Arial" w:eastAsia="Arial" w:hAnsi="Arial"/>
          <w:sz w:val="18"/>
          <w:szCs w:val="18"/>
          <w:color w:val="auto"/>
        </w:rPr>
      </w:pPr>
    </w:p>
    <w:p>
      <w:pPr>
        <w:ind w:left="560" w:hanging="480"/>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Leverage deep strategic relationships with our academic and commercial partners to improve the quality of our discovery and development efforts.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Cellular Metabolism</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Cellular metabolism refers to the set of life-sustaining chemical transformations within the cells of living organisms. The conversion of nutrients into energy via enzyme-catalyzed reactions allows organisms to grow and reproduce, maintain their structures, and respond to their environments. Additionally, metabolites serve as key regulators of diverse aspects of cellular biology, and pharmacologic targeting of metabolism can therefore have disease-modifying effects in a wide variety of pathologies. The chemical reactions of metabolism are organized into metabolic pathways, in which one chemical is transformed through a series of steps into another chemical, by a sequence of enzymes. Enzymes catalyze quick and efficient reactions, serve as key regulators of metabolic pathways, and respond to changes in the cell’s environment or signals from other cells. We believe our deep understanding of metabolic pathways within normal cells enables us to identify altered metabolic pathways within abnormal cells such as in rapidly-proliferating hematologic malignancies, solid tumors and RGDs.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and cancer metabolism</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Cancer is a disease characterized by unregulated cell growth. Cancer typically develops when the repair of genetic material in normal cells begins to fail and genes that regulate cell growth become altered. Carcinogens, or cancer causing agents, such as radiation, chemicals and hormones, can trigger changes to the genetic material of a cell, increasing the rate of new genetic alterations and thus promoting cancer. Cancer cells can spread to other areas of the body, or metastasize, and form tumors, which can destroy normal tissue or organs. Risk factors for cancer include family history, age, diet, and exogenous factors, such as exposure to ultraviolet sunlight and smoking. Cancers can be classified in stages to document disease severity, measured in stages of I to IV, generally based on tumor size, involvement of lymph nodes, and metastases.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most common methods of treating patients with cancer are surgery, radiation and drug therapy. A cancer patient often receives treatment with a combination of these methods. These treatment regimens are often associated with severe side effects, including fatigue, infection, nausea and vomiting and pain. Surgery and radiation therapy are particularly effective in patients in whom the disease is localized. Physicians generally use systemic drug therapies in situations in which the cancer has spread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beyond the primary site or cannot otherwise be treated through surgery. The goal of drug therapy is to kill cancer cells or to damage cellular components required for rapid growth and survival of cancer cells. Historically, cancer drug development focused on design of cytotoxic drugs, which kill rapidly proliferating cells and are efficacious because of the unregulated cell growth that is characteristic of cancers. These drugs such as Cytoxan</w:t>
      </w:r>
      <w:r>
        <w:rPr>
          <w:rFonts w:ascii="Arial" w:cs="Arial" w:eastAsia="Arial" w:hAnsi="Arial"/>
          <w:sz w:val="16"/>
          <w:szCs w:val="16"/>
          <w:color w:val="auto"/>
        </w:rPr>
        <w:t>® and</w:t>
      </w:r>
      <w:r>
        <w:rPr>
          <w:rFonts w:ascii="Arial" w:cs="Arial" w:eastAsia="Arial" w:hAnsi="Arial"/>
          <w:sz w:val="18"/>
          <w:szCs w:val="18"/>
          <w:color w:val="auto"/>
        </w:rPr>
        <w:t xml:space="preserve"> Adriamycin</w:t>
      </w:r>
      <w:r>
        <w:rPr>
          <w:rFonts w:ascii="Arial" w:cs="Arial" w:eastAsia="Arial" w:hAnsi="Arial"/>
          <w:sz w:val="16"/>
          <w:szCs w:val="16"/>
          <w:color w:val="auto"/>
        </w:rPr>
        <w:t>®</w:t>
      </w:r>
      <w:r>
        <w:rPr>
          <w:rFonts w:ascii="Arial" w:cs="Arial" w:eastAsia="Arial" w:hAnsi="Arial"/>
          <w:sz w:val="18"/>
          <w:szCs w:val="18"/>
          <w:color w:val="auto"/>
        </w:rPr>
        <w:t xml:space="preserve"> have been effective in the treatment of some cancers, and remain in use today, but they act in an indiscriminate manner, killing healthy as well as cancerous cells. Due to their mechanism of action, many cytotoxic drugs have a narrow dose range, above which the toxicity causes unacceptable or even fatal levels of damage, and below which the drugs are not effective in eradicating cancer cells. In many cases, drug therapy entails the administration of several different drugs, known as combination chemotherapy.</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past several decades, drug therapy has evolved from non-specific drugs that kill both healthy and cancerous cells to drugs that target specific molecular pathways involved in cancer.</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newer therapies include: targeted therapies that inhibit the activity of specific enzymes that are mutated in specific subsets of cancers; drugs that stimulate the normal immune system to attack the cancer, also known as immuno-oncology; chimeric antigen receptor and T cell receptor technologies to genetically engineer T cells to recognize and kill cancer cells; antibody drug conjugates, for example Kadcyla</w:t>
      </w:r>
      <w:r>
        <w:rPr>
          <w:rFonts w:ascii="Arial" w:cs="Arial" w:eastAsia="Arial" w:hAnsi="Arial"/>
          <w:sz w:val="14"/>
          <w:szCs w:val="14"/>
          <w:color w:val="auto"/>
        </w:rPr>
        <w:t>®</w:t>
      </w:r>
      <w:r>
        <w:rPr>
          <w:rFonts w:ascii="Arial" w:cs="Arial" w:eastAsia="Arial" w:hAnsi="Arial"/>
          <w:sz w:val="16"/>
          <w:szCs w:val="16"/>
          <w:color w:val="auto"/>
        </w:rPr>
        <w:t>, that carry a powerful chemotherapy payload that is only released into the cancer cell; and drugs that target the changes in gene activity that occurs in cancer cells, also known as epigenetics.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areas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Next generation targeted therapies. </w:t>
      </w:r>
      <w:r>
        <w:rPr>
          <w:rFonts w:ascii="Arial" w:cs="Arial" w:eastAsia="Arial" w:hAnsi="Arial"/>
          <w:sz w:val="18"/>
          <w:szCs w:val="18"/>
          <w:color w:val="auto"/>
        </w:rPr>
        <w:t>Targeted therapies, where the therapy is effective in a discrete subset of cancer patients who have specific cancer-causing</w:t>
      </w:r>
      <w:r>
        <w:rPr>
          <w:rFonts w:ascii="Arial" w:cs="Arial" w:eastAsia="Arial" w:hAnsi="Arial"/>
          <w:sz w:val="18"/>
          <w:szCs w:val="18"/>
          <w:i w:val="1"/>
          <w:iCs w:val="1"/>
          <w:color w:val="auto"/>
        </w:rPr>
        <w:t xml:space="preserve"> </w:t>
      </w:r>
      <w:r>
        <w:rPr>
          <w:rFonts w:ascii="Arial" w:cs="Arial" w:eastAsia="Arial" w:hAnsi="Arial"/>
          <w:sz w:val="18"/>
          <w:szCs w:val="18"/>
          <w:color w:val="auto"/>
        </w:rPr>
        <w:t>mutations, have become an important component of cancer therapeutics. These drugs are designed to attack oncogenes, which are targets that are genetically altered in cancer cells, where the genetic alteration in the target causes uncontrolled growth of cancer cells. Examples of effective oncogene-targeted therapies include Herceptin®, Avastin® and Zelboraf®. Initial oncogene-targeted therapies were directed against mutant forms of cell surface receptors or enzymes involved in cellular signaling and cell growth control. Recently, the breadth of targets that have been drugged has been expanded to include other classes of mutant enzymes, including epigenetic enzymes, such as genetically altered forms of EZH2, and metabolic enzymes, such as genetically altered forms of IDH1 and IDH2.</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class, oncogene-targeted therapies have proven effective in treating patients with the appropriate oncogene mutation, but only a fraction of cancer patients have mutations in these readily druggable targets. Targeted therapies for patients that do not currently benefit from oncogene-targeted therapies are a critical need, and we believe that synthetic lethal strategies are an important emerging approach to this problem. Synthetic lethal targets are targets that are more essential for the growth or survival of cancers with genetic alteration in a gene other than the target itself. In synthetic lethal approaches, the genetic alteration in the cancer creates a vulnerability to a second target. Poly (ADP-ribose) polymerase, or PARP, inhibitors in breast cancer gene, or BRCA-mutant cancers are an example of a synthetic lethal-targeted therapy. We believe that there are additional druggable targets that have synthetic lethal relationships with prevalent genetic alterations in cancer, and we continue to apply our research platform to identify and drug such targets, including MTAP-deleted cancers. Synthetic lethal targets are an important emerging class of precision medicines.</w:t>
      </w:r>
    </w:p>
    <w:p>
      <w:pPr>
        <w:spacing w:after="0" w:line="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Next generation immuno-oncology therapies. </w:t>
      </w:r>
      <w:r>
        <w:rPr>
          <w:rFonts w:ascii="Arial" w:cs="Arial" w:eastAsia="Arial" w:hAnsi="Arial"/>
          <w:sz w:val="16"/>
          <w:szCs w:val="16"/>
          <w:color w:val="auto"/>
        </w:rPr>
        <w:t>In addition to unregulated growth pathways in the cells within a tumor, the growth and survival of the tumor</w:t>
      </w:r>
      <w:r>
        <w:rPr>
          <w:rFonts w:ascii="Arial" w:cs="Arial" w:eastAsia="Arial" w:hAnsi="Arial"/>
          <w:sz w:val="16"/>
          <w:szCs w:val="16"/>
          <w:i w:val="1"/>
          <w:iCs w:val="1"/>
          <w:color w:val="auto"/>
        </w:rPr>
        <w:t xml:space="preserve"> </w:t>
      </w:r>
      <w:r>
        <w:rPr>
          <w:rFonts w:ascii="Arial" w:cs="Arial" w:eastAsia="Arial" w:hAnsi="Arial"/>
          <w:sz w:val="16"/>
          <w:szCs w:val="16"/>
          <w:color w:val="auto"/>
        </w:rPr>
        <w:t>also requires that the tumor is not recognized and attacked by the patient’s immune system. Tumors employ a variety of strategies to avoid detection and killing by the immune system, and therapies that interfere with these strategies have recently been shown to be effective in multiple types of cancer. These therapies, such as Keytruda®, Opdivo® and Yervoy®, known as ‘immune checkpoint’ therapies, block the inactivation of endogenous T cells and allow them to attack the tumor. While highly effective in some patients, these therapies work in a minority of all cancers. A critical emerging area is the discovery of next-generation immuno-oncology therapies that, alone or in combination, will enhance immune-mediated killing of tumors. There is increasing evidence that there are additional immune checkpoints that have not yet been discovered or have not yet been therapeutically targeted. This includes evidence that specific metabolites can act locally in the tumor microenvironment as immuno-suppressants. We are leveraging our capabilities in bioinformatics, functional genomics, proteomics and metabolomics to identify, validate and drug novel immuno-oncology targets in metabolism and adjacent biology areas, and our efforts in this field are governed by our 2016 global research and collaboration agreement with Celgene, described in more detail below.</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genetic diseases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RGDs, a subset of orphan genetic metabolic diseases, are a broad group of more than 600 rare diseases caused by mutations of single metabolic genes. In these disorders, the defect of a single metabolic enzyme disrupts the normal functioning of a metabolic pathway, leading to either aberrant accumulation of “upstream” metabolites which may be toxic or interfere with normal function, or reduced ability to synthesize essential “downstream” metabolites or other critical cellular components. RGDs are also referred to as congenital metabolic diseases or rare genetic disorders of metabolism.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Most of these diseases are rare or ultra-rare orphan diseases, often with severe or life-threatening features. A disorder is considered orphan if it affects fewer than 200,000 people in the United States, or fewer than five per 10,000 people in the European Union, or EU. In a study in British Columbia, the overall incidence of RGDs was estimated to be 70 per 100,000 live births or one in 1,400 births, overall representing more than approximately 15% of single gene disorders in the population. Incidence of a single RGD can vary widely but is generally rare, usually equal to or less than one per 100,000 births. Many RGDs are likely to be under-diagnosed given the lack of available therapies or diagnostics and the rarity of the condition.</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treatment options for these disorders are limited. Diet modification or nutrient supplementation can be beneficial in some RGDs. Several of these disorders, from a group known as lysosomal storage diseases, have been treated successfully with enzyme replacement therapy, or ERT, the therapeutic administration of a functional version of the defective enzyme. Examples of ERTs for lysosomal storage disorders include Fabrazyme</w:t>
      </w:r>
      <w:r>
        <w:rPr>
          <w:rFonts w:ascii="Arial" w:cs="Arial" w:eastAsia="Arial" w:hAnsi="Arial"/>
          <w:sz w:val="15"/>
          <w:szCs w:val="15"/>
          <w:color w:val="auto"/>
        </w:rPr>
        <w:t>®</w:t>
      </w:r>
      <w:r>
        <w:rPr>
          <w:rFonts w:ascii="Arial" w:cs="Arial" w:eastAsia="Arial" w:hAnsi="Arial"/>
          <w:sz w:val="17"/>
          <w:szCs w:val="17"/>
          <w:color w:val="auto"/>
        </w:rPr>
        <w:t xml:space="preserve"> for Fabry disease, Myozome</w:t>
      </w:r>
      <w:r>
        <w:rPr>
          <w:rFonts w:ascii="Arial" w:cs="Arial" w:eastAsia="Arial" w:hAnsi="Arial"/>
          <w:sz w:val="15"/>
          <w:szCs w:val="15"/>
          <w:color w:val="auto"/>
        </w:rPr>
        <w:t>®</w:t>
      </w:r>
      <w:r>
        <w:rPr>
          <w:rFonts w:ascii="Arial" w:cs="Arial" w:eastAsia="Arial" w:hAnsi="Arial"/>
          <w:sz w:val="17"/>
          <w:szCs w:val="17"/>
          <w:color w:val="auto"/>
        </w:rPr>
        <w:t xml:space="preserve"> for Pompe disease, Cerezyme</w:t>
      </w:r>
      <w:r>
        <w:rPr>
          <w:rFonts w:ascii="Arial" w:cs="Arial" w:eastAsia="Arial" w:hAnsi="Arial"/>
          <w:sz w:val="15"/>
          <w:szCs w:val="15"/>
          <w:color w:val="auto"/>
        </w:rPr>
        <w:t>®</w:t>
      </w:r>
      <w:r>
        <w:rPr>
          <w:rFonts w:ascii="Arial" w:cs="Arial" w:eastAsia="Arial" w:hAnsi="Arial"/>
          <w:sz w:val="17"/>
          <w:szCs w:val="17"/>
          <w:color w:val="auto"/>
        </w:rPr>
        <w:t xml:space="preserve"> for Gaucher disease, and Elaprase</w:t>
      </w:r>
      <w:r>
        <w:rPr>
          <w:rFonts w:ascii="Arial" w:cs="Arial" w:eastAsia="Arial" w:hAnsi="Arial"/>
          <w:sz w:val="15"/>
          <w:szCs w:val="15"/>
          <w:color w:val="auto"/>
        </w:rPr>
        <w:t>®</w:t>
      </w:r>
      <w:r>
        <w:rPr>
          <w:rFonts w:ascii="Arial" w:cs="Arial" w:eastAsia="Arial" w:hAnsi="Arial"/>
          <w:sz w:val="17"/>
          <w:szCs w:val="17"/>
          <w:color w:val="auto"/>
        </w:rPr>
        <w:t xml:space="preserve"> for Hunter syndrome.</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Unfortunately, most mutations driving RGDs are intracellular and not amenable for treatment with enzyme replacement therapies. As a result, despite the promising progress made for patients with a small group of these diseases, the vast majority of patients with RGDs have few therapeutic options available, and the standard of care is palliative, meaning treatment of symptoms with no effect on underlying disease mechanisms. We are taking a novel small molecule approach to correct the metabolic defects within diseased cells with a goal of developing transformative medicines for patients.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focus on RGDs that share the following common set of features:</w:t>
      </w:r>
    </w:p>
    <w:p>
      <w:pPr>
        <w:spacing w:after="0" w:line="117"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single gene defect;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clinical presentation with evidence that disease damage is progressive but potentially reversible;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number of patients for prospective clinical trials; and</w:t>
      </w:r>
    </w:p>
    <w:p>
      <w:pPr>
        <w:spacing w:after="0" w:line="63"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assessment of the target, based upon a detailed mutational, structural, and metabolomic analysis, to determine if a small molecule approach to correcting the disease is possible.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Medicine Approach</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generally progress our drug candidates forward into phase 1 clinical trials if we have the ability to select patients who are most likely to respond to a given therapy based on biomarkers, for example, genetic or metabolic markers. To increase the probability of discovering and developing such precision medicines, we utilize translational science approaches throughout the research process, and we typically begin our efforts to identify novel targets by first specifying a biomarker-identifiable subset of disease with a high unmet need, and then conducting target identification and validation studies to identify targets that will be particularly well suited to that biomarker-identifiable population. In other words, we begin our research with specific, defined subsets of patients in mind.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many factors are considered critical to maximize the probability of technical success in the drug development process, perhaps none is more important than identifying highly specific and selective molecules aimed at the best possible targets for therapy coupled with the patients most likely to respond to that therapy. Our goal is to develop increasing confidence in the target and the patient population prior to entering human clinical trials, and then initiate those first human trials in a patient population that has been selected based on target dependence using a genetic marker and/or biomarker. This approach, known as personalized or precision medicine, is used in the industry to lead to the potential for clear proof of concept in early human trials, along with the potential for accelerated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leveraging our core capabilities in cellular metabolism combined with a precision medicine approach has significantly enhanced our ability to build a research and development engine that is focused in the therapeutic areas of malignant hematology, solid tumors and RGDs. This engine has permitted us to discover proprietary first-in-class orally-available small molecules as potential lead product candidates for each of several novel programs in development. All of our lead programs focus on diagnostically identified patient populations with the potential for establishing early clinical proof of concept and accelerated approval paths.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our products and most advanced product candidates as of February 1, 2020, each of which is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866130" cy="4553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455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Targeting Mutated IDH for the Treatment of Cancer</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IDH protein is a critical enzyme in the citric acid cycle, also known as the tricarboxylic acid cycle or Krebs cycle. The Krebs cycle is centrally important to many biochemical pathways and is one of the earliest established components of cellular metabolism. The Krebs cycle converts an essential cellular metabolite called isocitrate into another metabolite, alpha-ketoglutarate (a-ketoglutarate), both of which are critically important for cellular function and the creation of energy. In humans, there are three forms of the IDH enzyme, IDH1, IDH2, and IDH3, but only IDH1 and IDH2 appear to be mutated in cancers. IDH1 and IDH2 catalyze the same reaction but in different cellular compartments: IDH1 is found in the cytoplasm of the cell and IDH2 in the mitochondria. Tumor cells are generally observed to carry either an IDH1 or IDH2 mutation.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Using our proprietary metabolic platform, we and our collaborators examined the mutated pathway and discovered that the mutated IDH enzymes had adopted a novel “gain of function” activity that allows only the mutated IDH enzyme to produce large amounts of a metabolite called 2-hydroxygluturate, or 2HG. We have shown that the excessive levels of the metabolite 2HG produced by the tumor fuel cancer growth and survival via multiple cellular changes that lead to a block in cell maturation, or differentiation. We have also shown that inhibition of these mutated proteins can lead to clinical benefit for the subset of cancer patients whose tumors carry these mutations. By reducing elevated 2HG levels, our IDH inhibitors reverse the block in cellular differentiation, allowing tumorous cells to differentiate into normally functioning cells in patients with AML. We have identified selective development candidates that separately target and inhibit the mutated forms of IDH1 and IDH2. To date, our clinical data with ivosidenib and enasidenib, our lead inhibitors of mutant IDH1 and IDH2, respectively, demonstrate evidence of cellular differentiation, normalization of cell counts and mutational clearance in the bone marrow and blood, a mechanism of response that is consistent with preclinical studies, including substantial reduction of plasma 2HG levels. This targeted differentiation effect is distinct from that seen with traditional cytotoxic chemotherapeutics, commonly used to treat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cancer, which lead to cell death. Our goal is to establish our IDH mutation inhibitors as a cornerstone of AML therapy spanning all treatment lines, and to leverage our understanding of IDH mutation inhibition to develop our IDH mutation inhibitors to treat solid tumors such as low grade glioma and cholangiocarcinoma.</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date, IDH1 and IDH2 mutations have been found to be prevalent in a broad range of advanced hematologic malignancies and solid tumors. The following table summarizes our current estimates on the occurrence of IDH1 and IDH2 mutations in certain hematologic and solid tumors. We believe our estimates may expand as more cancer treatment centers screen for these IDH mutations.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Mutation</w:t>
            </w:r>
          </w:p>
        </w:tc>
        <w:tc>
          <w:tcPr>
            <w:tcW w:w="6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Indications</w:t>
            </w:r>
          </w:p>
        </w:tc>
        <w:tc>
          <w:tcPr>
            <w:tcW w:w="3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 with IDH mutations</w:t>
            </w: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IDH1</w:t>
            </w:r>
          </w:p>
        </w:tc>
        <w:tc>
          <w:tcPr>
            <w:tcW w:w="6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AML</w:t>
            </w:r>
          </w:p>
        </w:tc>
        <w:tc>
          <w:tcPr>
            <w:tcW w:w="3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~6-10%</w:t>
            </w:r>
          </w:p>
        </w:tc>
      </w:tr>
      <w:tr>
        <w:trPr>
          <w:trHeight w:val="243"/>
        </w:trPr>
        <w:tc>
          <w:tcPr>
            <w:tcW w:w="1340" w:type="dxa"/>
            <w:vAlign w:val="bottom"/>
          </w:tcPr>
          <w:p>
            <w:pPr>
              <w:spacing w:after="0"/>
              <w:rPr>
                <w:sz w:val="21"/>
                <w:szCs w:val="21"/>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Cholangiocarcinoma</w:t>
            </w:r>
          </w:p>
        </w:tc>
        <w:tc>
          <w:tcPr>
            <w:tcW w:w="3060" w:type="dxa"/>
            <w:vAlign w:val="bottom"/>
          </w:tcPr>
          <w:p>
            <w:pPr>
              <w:ind w:left="760"/>
              <w:spacing w:after="0"/>
              <w:rPr>
                <w:sz w:val="20"/>
                <w:szCs w:val="20"/>
                <w:color w:val="auto"/>
              </w:rPr>
            </w:pPr>
            <w:r>
              <w:rPr>
                <w:rFonts w:ascii="Arial" w:cs="Arial" w:eastAsia="Arial" w:hAnsi="Arial"/>
                <w:sz w:val="18"/>
                <w:szCs w:val="18"/>
                <w:color w:val="auto"/>
              </w:rPr>
              <w:t>~10-14%</w:t>
            </w:r>
          </w:p>
        </w:tc>
      </w:tr>
      <w:tr>
        <w:trPr>
          <w:trHeight w:val="27"/>
        </w:trPr>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Low grade glioma</w:t>
            </w:r>
          </w:p>
        </w:tc>
        <w:tc>
          <w:tcPr>
            <w:tcW w:w="3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~80%</w:t>
            </w:r>
          </w:p>
        </w:tc>
      </w:tr>
      <w:tr>
        <w:trPr>
          <w:trHeight w:val="243"/>
        </w:trPr>
        <w:tc>
          <w:tcPr>
            <w:tcW w:w="1340" w:type="dxa"/>
            <w:vAlign w:val="bottom"/>
          </w:tcPr>
          <w:p>
            <w:pPr>
              <w:spacing w:after="0"/>
              <w:rPr>
                <w:sz w:val="21"/>
                <w:szCs w:val="21"/>
                <w:color w:val="auto"/>
              </w:rPr>
            </w:pPr>
          </w:p>
        </w:tc>
        <w:tc>
          <w:tcPr>
            <w:tcW w:w="6960" w:type="dxa"/>
            <w:vAlign w:val="bottom"/>
          </w:tcPr>
          <w:p>
            <w:pPr>
              <w:ind w:left="740"/>
              <w:spacing w:after="0"/>
              <w:rPr>
                <w:sz w:val="20"/>
                <w:szCs w:val="20"/>
                <w:color w:val="auto"/>
              </w:rPr>
            </w:pPr>
            <w:r>
              <w:rPr>
                <w:rFonts w:ascii="Arial" w:cs="Arial" w:eastAsia="Arial" w:hAnsi="Arial"/>
                <w:sz w:val="18"/>
                <w:szCs w:val="18"/>
                <w:color w:val="auto"/>
              </w:rPr>
              <w:t>Myelodysplastic Syndromes (MDS) / Myeloproliferative neoplasms (MPN)</w:t>
            </w:r>
          </w:p>
        </w:tc>
        <w:tc>
          <w:tcPr>
            <w:tcW w:w="3060" w:type="dxa"/>
            <w:vAlign w:val="bottom"/>
          </w:tcPr>
          <w:p>
            <w:pPr>
              <w:ind w:left="760"/>
              <w:spacing w:after="0"/>
              <w:rPr>
                <w:sz w:val="20"/>
                <w:szCs w:val="20"/>
                <w:color w:val="auto"/>
              </w:rPr>
            </w:pPr>
            <w:r>
              <w:rPr>
                <w:rFonts w:ascii="Arial" w:cs="Arial" w:eastAsia="Arial" w:hAnsi="Arial"/>
                <w:sz w:val="18"/>
                <w:szCs w:val="18"/>
                <w:color w:val="auto"/>
              </w:rPr>
              <w:t>~3%</w:t>
            </w:r>
          </w:p>
        </w:tc>
      </w:tr>
      <w:tr>
        <w:trPr>
          <w:trHeight w:val="27"/>
        </w:trPr>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134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IDH2</w:t>
            </w:r>
          </w:p>
        </w:tc>
        <w:tc>
          <w:tcPr>
            <w:tcW w:w="6960" w:type="dxa"/>
            <w:vAlign w:val="bottom"/>
          </w:tcPr>
          <w:p>
            <w:pPr>
              <w:ind w:left="740"/>
              <w:spacing w:after="0"/>
              <w:rPr>
                <w:sz w:val="20"/>
                <w:szCs w:val="20"/>
                <w:color w:val="auto"/>
              </w:rPr>
            </w:pPr>
            <w:r>
              <w:rPr>
                <w:rFonts w:ascii="Arial" w:cs="Arial" w:eastAsia="Arial" w:hAnsi="Arial"/>
                <w:sz w:val="18"/>
                <w:szCs w:val="18"/>
                <w:color w:val="auto"/>
              </w:rPr>
              <w:t>AML</w:t>
            </w:r>
          </w:p>
        </w:tc>
        <w:tc>
          <w:tcPr>
            <w:tcW w:w="3060" w:type="dxa"/>
            <w:vAlign w:val="bottom"/>
          </w:tcPr>
          <w:p>
            <w:pPr>
              <w:ind w:left="760"/>
              <w:spacing w:after="0"/>
              <w:rPr>
                <w:sz w:val="20"/>
                <w:szCs w:val="20"/>
                <w:color w:val="auto"/>
              </w:rPr>
            </w:pPr>
            <w:r>
              <w:rPr>
                <w:rFonts w:ascii="Arial" w:cs="Arial" w:eastAsia="Arial" w:hAnsi="Arial"/>
                <w:sz w:val="18"/>
                <w:szCs w:val="18"/>
                <w:color w:val="auto"/>
              </w:rPr>
              <w:t>~9-13%</w:t>
            </w:r>
          </w:p>
        </w:tc>
      </w:tr>
      <w:tr>
        <w:trPr>
          <w:trHeight w:val="34"/>
        </w:trPr>
        <w:tc>
          <w:tcPr>
            <w:tcW w:w="134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Based on literature analysis; estimates will continue to evolve with additional future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Ivosidenib (mutant IDH1 inhibitor)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developing ivosidenib for the treatment of IDH1 mutant-positive cancers. Ivosidenib is an orally available, selective, potent inhibitor of the mutated IDH1 protein, making it a highly targeted therapy for the treatment of patients with cancers that harbor IDH1 mutations. We hold worldwide development and commercial rights to ivosidenib and have licensed certain development and commercialization rights to ivosidenib in mainland China, Hong Kong, Macau, and Taiwan to CStone, pursuant to an exclusive license agreement with CStone, or the CStone Agreement, discussed more fully below. We will fund the future development and commercialization costs related to this program with the exception of development and commercialization activities of CStone under the CStone Agreement. Mutations in IDH1 have been identified in difficult to treat hematologic and solid tumor cancers, including AML, MDS, cholangiocarcinoma and low grade glioma, where both the treatment options and prognosis for patients are poor.</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2018, the FDA approved TIBSOVO® for the treatment of adult patients with R/R AML and a susceptible IDH1 mutation. The FDA's approval of TIBSOVO® in R/R AML was based on clinical data from a phase 1 open-label, single-arm, multicenter dose-escalation and expansion trial of adult patients with advanced R/R AML and an IDH1 mutation. In December 2018, we submitted an MAA to the EMA for TIBSOVO® for the treatment of adult patients with R/R AML. In May 2019, the FDA approved our sNDA to update the U.S. Prescribing Information for TIBSOVO® to include patients with newly diagnosed AML with a susceptible IDH1 mutation as detected by an FDA-approved test who are at least 75 years old or who have comorbidities that preclude use of intensive induction chemotherapy. The FDA granted orphan drug designation for ivosidenib for the treatment of cholangiocarcinoma, granted Breakthrough Therapy designation for ivosidenib in combination with azacitidine for the treatment of newly diagnosed AML with an IDH1 mutation in adult patients who are at least 75 years old or who have comorbidities that preclude use of intensive induction chemotherapy, and granted Breakthrough Therapy designation for ivosidenib for the treatment of adult patients with relapsed or refractory MDS with a susceptible IDH1 mutation as detected by an FDA-approved test.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ivosidenib in the following clinical trials: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Hematologic Malignancies</w:t>
      </w:r>
    </w:p>
    <w:p>
      <w:pPr>
        <w:spacing w:after="0" w:line="117" w:lineRule="exact"/>
        <w:rPr>
          <w:sz w:val="20"/>
          <w:szCs w:val="20"/>
          <w:color w:val="auto"/>
        </w:rPr>
      </w:pPr>
    </w:p>
    <w:p>
      <w:pPr>
        <w:jc w:val="both"/>
        <w:ind w:left="500" w:hanging="492"/>
        <w:spacing w:after="0" w:line="264" w:lineRule="auto"/>
        <w:tabs>
          <w:tab w:leader="none" w:pos="495"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A phase 1b, multicenter, international, open-label clinical trial, to evaluate safety and clinical activity of ivosidenib or enasidenib in combination with induction and consolidation therapy in patients with newly diagnosed AML with an IDH1 or IDH2 mutation who are eligible for intensive chemotherapy. This trial has completed enrollment.</w:t>
      </w:r>
    </w:p>
    <w:p>
      <w:pPr>
        <w:spacing w:after="0" w:line="73" w:lineRule="exact"/>
        <w:rPr>
          <w:rFonts w:ascii="Arial" w:cs="Arial" w:eastAsia="Arial" w:hAnsi="Arial"/>
          <w:sz w:val="18"/>
          <w:szCs w:val="18"/>
          <w:i w:val="1"/>
          <w:iCs w:val="1"/>
          <w:color w:val="auto"/>
        </w:rPr>
      </w:pPr>
    </w:p>
    <w:p>
      <w:pPr>
        <w:ind w:left="500" w:right="20" w:hanging="492"/>
        <w:spacing w:after="0" w:line="277"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phase 1/2 frontline combination clinical trial, conducted by Celgene, of either ivosidenib or enasidenib in combination with VIDAZA® (azacitidine) in newly diagnosed AML patients not eligible for intensive chemotherapy. The trial has completed enrollment.</w:t>
      </w:r>
    </w:p>
    <w:p>
      <w:pPr>
        <w:spacing w:after="0" w:line="62" w:lineRule="exact"/>
        <w:rPr>
          <w:rFonts w:ascii="Arial" w:cs="Arial" w:eastAsia="Arial" w:hAnsi="Arial"/>
          <w:sz w:val="18"/>
          <w:szCs w:val="18"/>
          <w:color w:val="auto"/>
        </w:rPr>
      </w:pPr>
    </w:p>
    <w:p>
      <w:pPr>
        <w:ind w:left="500" w:hanging="492"/>
        <w:spacing w:after="0" w:line="308" w:lineRule="auto"/>
        <w:tabs>
          <w:tab w:leader="none" w:pos="495" w:val="left"/>
        </w:tabs>
        <w:numPr>
          <w:ilvl w:val="0"/>
          <w:numId w:val="7"/>
        </w:numPr>
        <w:rPr>
          <w:rFonts w:ascii="Arial" w:cs="Arial" w:eastAsia="Arial" w:hAnsi="Arial"/>
          <w:sz w:val="17"/>
          <w:szCs w:val="17"/>
          <w:color w:val="auto"/>
        </w:rPr>
      </w:pPr>
      <w:r>
        <w:rPr>
          <w:rFonts w:ascii="Arial" w:cs="Arial" w:eastAsia="Arial" w:hAnsi="Arial"/>
          <w:sz w:val="17"/>
          <w:szCs w:val="17"/>
          <w:color w:val="auto"/>
        </w:rPr>
        <w:t>AGILE, a global, registration-enabling phase 3 clinical trial, combining ivosidenib and VIDAZA® (azacitidine) in newly diagnosed AML patients with an IDH1 mutation who are ineligible for intensive chemotherapy. The trial is enrolling patients and we expect to complete enrollment in 2020.</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HO150/AMLSG29, an intergroup sponsored, global, registration-enabling phase 3 trial, supported in collaboration with Celgene, combining ivosidenib or enasidenib with standard induction and consolidation chemotherapy in frontline AML patients with an IDH1 or IDH2 mutation. The trial is currently enrolling patients.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0" w:hanging="492"/>
        <w:spacing w:after="0" w:line="264"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phase 1 multicenter, open-label, dose-escalation and expansion clinical trial, designed to assess its safety, clinical activity and tolerability as a single agent in patients with advanced hematologic malignancies with an IDH1 mutation. The trial recently reopened enrollment of its relapsed or refractory MDS arm, for which we expect to complete enrollment in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Tumors</w:t>
      </w:r>
    </w:p>
    <w:p>
      <w:pPr>
        <w:spacing w:after="0" w:line="117" w:lineRule="exact"/>
        <w:rPr>
          <w:sz w:val="20"/>
          <w:szCs w:val="20"/>
          <w:color w:val="auto"/>
        </w:rPr>
      </w:pPr>
    </w:p>
    <w:p>
      <w:pPr>
        <w:jc w:val="both"/>
        <w:ind w:left="500" w:hanging="492"/>
        <w:spacing w:after="0" w:line="264"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phase 1 multicenter, open-label, dose-escalation and expansion clinical trial, designed to assess its safety, clinical activity and tolerability as a single agent in patients with advanced solid tumors with an IDH1 mutation, including glioma, cholangiocarcinoma, and chondrosarcoma. The trial has completed enrollment.</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ClarIDHy, a registration-enabling phase 3, multicenter, randomized, double-blind, placebo-controlled clinical trial of ivosidenib in previously-treated patients with nonresectable or metastatic cholangiocarcinoma with an IDH1 mutation. The primary endpoint of the trial was met and we expect to file an sNDA with the FDA for TIBSOVO® in cholangiocarcinoma by year-end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Enasidenib (mutant IDH2 inhibitor)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Celgene, pursuant to the 2010 Agreement, discussed below, is developing enasidenib for the treatment of IDH2 mutant-positive hematologic malignancies. Enasidenib is an orally available, selective, potent inhibitor of the mutated IDH2 protein, making it a highly targeted therapeutic candidate for the treatment of patients with cancers that harbor IDH2 mutations, including those with AML, who have a historically poor prognosis. In August 2017, the FDA granted Celgene approval of IDHIFA® for the treatment of adult patients with R/R AML and an IDH2 mutation. In June 2018, Celgene submitted an MAA to the EMA for IDHIFA® for IDH2 mutant-positive AML, which it subsequently withdrew in December 2019.</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Celgene maintains worldwide development and commercial rights to enasidenib and will fund the future development and commercialization costs related to this program. In April 2010, we entered into a collaboration agreement with Celgene focused on cancer metabolism, or the 2010 Agreement. Under the remaining terms of the 2010 Agreement, Celgene is responsible for all development costs for enasidenib, and we are eligible to receive up to $80.0 million in potential milestone payments, which are comprised of: (i) up to $55.0 million in milestone payments upon achievement of specified ex-U.S. regulatory milestone events, of which $35.0 million relates to the first regulatory approval in any of China, Japan or a major European country, and (ii) a $25.0 million milestone payment upon achievement of a specified ex-U.S. commercial milestone event. Additionally, we are eligible to receive royalties at tiered low-double digit to mid-teen percentage rates on any net sales of IDHIFA®.</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clinical trials discussed above, enasidenib is also being evaluated by Celgene in IDHENTIFY, an international phase 3, multi-center, open-label, randomized clinical trial designed to compare the efficacy and safety of enasidenib versus conventional care regimens in patients 60 years or older with IDH2 mutant-positive AML that is refractory to or relapsed after second- or third-line therapy. This trial has completed enrollment.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Vorasidenib: brain penetrant pan-IDH program</w:t>
      </w:r>
    </w:p>
    <w:p>
      <w:pPr>
        <w:spacing w:after="0" w:line="117"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We are developing vorasidenib for the treatment of IDH mutant-positive low grade glioma. Vorasidenib is an orally available, selective, brain-penetrant, pan-IDH mutant inhibitor. In connection with the termination of the AG-881 Agreements discussed below, Celgene is eligible to receive royalties from us at a low single-digit percentage rate on worldwide net sales of products containing vorasidenib.</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continue to evaluate vorasidenib in the following clinical trials:</w:t>
      </w:r>
    </w:p>
    <w:p>
      <w:pPr>
        <w:spacing w:after="0" w:line="117" w:lineRule="exact"/>
        <w:rPr>
          <w:sz w:val="20"/>
          <w:szCs w:val="20"/>
          <w:color w:val="auto"/>
        </w:rPr>
      </w:pPr>
    </w:p>
    <w:p>
      <w:pPr>
        <w:ind w:left="500" w:hanging="492"/>
        <w:spacing w:after="0" w:line="277" w:lineRule="auto"/>
        <w:tabs>
          <w:tab w:leader="none" w:pos="495"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A phase 1 multi-center, open-label clinical trial of vorasidenib in patients with advanced IDH1 or IDH2 mutant-positive solid tumors, including glioma. The trial has completed enrollment.</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perioperative study with ivosidenib and vorasidenib in low grade glioma to further investigate their effects on brain tumor tissue. The trial has completed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INDIGO, a registration-enabling phase 3 clinical trial of vorasidenib in low-grade (grade 2) glioma with an IDH1 or IDH 2 mutation. The trial is enrolling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PKR Activator Program</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PK is the enzyme involved in the second to last reaction in glycolysis — the conversion of glucose into lactic acid. This enzyme has several tissue-specific isoforms (PKR, PKL, PKM1 and PKM2). PKR is the isoform of pyruvate kinase that is present in red blood cells, or RBCs. Mutations in PKR cause defects in RBC glycolysis and lead to a hematological RGD known as pyruvate kinase deficiency, or PK deficiency. Glycolysis is the only pathway available for RBCs to maintain the production of adenosine triphosphate, or ATP, which is a form of chemical energy within cells. Accordingly, we believe that activation of mutant forms of PKR can restore glycolytic pathway activity and increase RBC health in patients with PK deficiency,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0"/>
        <w:spacing w:after="0" w:line="375" w:lineRule="auto"/>
        <w:rPr>
          <w:sz w:val="20"/>
          <w:szCs w:val="20"/>
          <w:color w:val="auto"/>
        </w:rPr>
      </w:pPr>
      <w:r>
        <w:rPr>
          <w:rFonts w:ascii="Arial" w:cs="Arial" w:eastAsia="Arial" w:hAnsi="Arial"/>
          <w:sz w:val="18"/>
          <w:szCs w:val="18"/>
          <w:color w:val="auto"/>
        </w:rPr>
        <w:t xml:space="preserve">activation of wild-type (non-mutated) PKR can serve as an effective compensatory mechanism in hemolytic anemias such as thalassemia and SCD. </w:t>
      </w:r>
      <w:r>
        <w:rPr>
          <w:rFonts w:ascii="Arial" w:cs="Arial" w:eastAsia="Arial" w:hAnsi="Arial"/>
          <w:sz w:val="18"/>
          <w:szCs w:val="18"/>
          <w:b w:val="1"/>
          <w:bCs w:val="1"/>
          <w:i w:val="1"/>
          <w:iCs w:val="1"/>
          <w:color w:val="auto"/>
        </w:rPr>
        <w:t>PK Deficiency</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PK deficiency is a rare genetic disorder and disease understanding is still evolving. We estimate that the prevalence of PK deficiency is between approximately 3,000 and 8,000 individuals in the United States and European Union, and we believe that the disease is likely under-diagnosed. PK deficiency leads to a shortened life span for RBCs and is the most common form of non-spherocytic hemolytic anemia in humans.</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no currently known unique ethnic or geographic representation of the disease. The disease manifests by mild to severe forms of anemia caused by the excessive premature destruction of RBCs. The chronic hemolysis can lead to long-term complications and comorbidities, regardless of the degree of the anemia, often resulting in jaundice and lifelong conditions associated with chronic anemia and secondary complications. The precise mechanism for the hemolysis is not well understood but is thought to result from membrane instability secondary to the metabolic defect caused by the low level of PKR enzyme. The hemolysis is “extra-vascular” in that the RBCs are destroyed in small capillaries or organs and do not spontaneously break open in the circulation. PK deficiency is an autosomal recessive disease whereby all patients inherit two mutations, one from each parent. Children with the disease produce PKR enzyme that has only a fraction of the normal level of activity (generally &lt;50%). Current management strategies for PK deficiency, including blood transfusion and splenectomy, are associated with both short- and long-term risks. More than 300 different mutations have been identified to date. As a result, there are many different possible mutant combinations and no one clear mutational profile. The mutations observed in PK deficiency patients are classified in two main categories. A missense mutation causes a single amino acid change in the protein, generally resulting in some functional protein in the RBCs. A non-missense mutation is any mutation other than a missense mutation, generally resulting in little functional protein in the RBCs. It is estimated that 58 percent of patients with PK deficiency have two missense mutations, 27 percent have one missense and one non-missense mutation, and 15 percent have two non-missense mutations. Boston Children’s Hospital, in collaboration with us, is conducting a Natural History Study to better understand the symptoms and complications of PK deficiency, identify patients and treatment centers, and capture other clinical data, including genetic information. We initiated a global registry, called PEAK, for up to 500 adult and pediatric patients with PK deficiency in the first quarter of 2018 to increase understanding of the long-term disease burden of this chronic hemolytic anemia.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Thalassemia</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Thalassemia is a hereditary blood disorder in which mutations in the α- or β-globin chains of hemoglobin lead to globin chain precipitates and aggregates that disturb the RBC membrane and induce oxidative stress, leading to decreased survival of RBC precursors, ineffective erythropoiesis, hemolysis of mature RBCs, and anemia. We estimate that the prevalence of thalassemia is between 18,000 and 23,000 individuals in the United States and European Union. In addition to anemia, patients with thalassemia can experience enlarged spleen, bone deformities, iron overload, fatigue, and infection. Current treatment strategies for thalassemia include blood transfusion and bone marrow transplantation, as well as recently improved therapies such as Reblozyl® for the treatment of beta thalassemia. We believe that the activation of wild-type PKR may increase ATP production and improve red cell fitness and survival of thalassemic RBCs, by increasing the clearance globin chain aggregates through ATP-dependent proteolytic mechanisms. In December 2019, we announced preliminary clinical data from our ongoing phase 2 trial of mitapivat in patients with non-transfusion-dependent thalassemia demonstrating proof of concept that activation of wild-type PKR has the potential to convey clinical benefit in thalassemia by increasing hemoglobin levels and reducing hemolysis in trial subjects.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Sickle Cell Disease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SCD is an inherited blood disorder caused by mutations in hemoglobin that enable the hemoglobin to form long polymeric chains under certain conditions such as low oxygenation, or deoxygenation. Polymerization of this irregular hemoglobin results in RBCs taking on a sickle shape, causing them to aggregate and obstruct small blood vessels, restricting blood flow to organs resulting in pain, cell death and organ damage. We estimate that the prevalence of SCD is between 120,000 and 135,000 individuals in the United States and EU. RBC deoxygenation is modulated by several factors, including the levels of 2,3-DPG, which is found to be elevated in sickle cell patient RBCs. Current treatment strategies focus on managing and preventing acute RBC sickling, and include hydroxyurea, L-glutamine and blood transfusions, as well as recently approved therapies such as Adakveo® and Oxbryta®. We believe that activation of wild-type PKR in patients with SCD may reduce hemoglobin polymerization and the sickling process by at least two mechanisms. Reducing the level of 2,3-DPG in RBCs would increase the oxygenation state of hemoglobin to reduce sickling, while increasing the levels of ATP may improve RBC hydration status which would also inhibit the sickling process.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Mitapivat: PK activator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developing mitapivat for the treatment of PK deficiency and other hemolytic anemias such as thalassemia and SCD. Mitapivat is an orally available small molecule and a potent activator of the wild-type and mutated PKR enzymes. To date,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have demonstrated in clinical trials that treatment with mitapivat can lead to durable sustained increases in hemoglobin in patients with amenable mutations in the PKR gene, and observed early signs of improvements in hemoglobin in thalassemia patients who have wild-type PKR.</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worldwide development and commercial rights to mitapivat and expect to fund the future development and commercialization costs related to this program. The FDA granted orphan drug and fast track designations for mitapivat for the treatment of patients with PK deficiency.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mitapivat in the following clinical trials:</w:t>
      </w:r>
    </w:p>
    <w:p>
      <w:pPr>
        <w:spacing w:after="0" w:line="117" w:lineRule="exact"/>
        <w:rPr>
          <w:sz w:val="20"/>
          <w:szCs w:val="20"/>
          <w:color w:val="auto"/>
        </w:rPr>
      </w:pPr>
    </w:p>
    <w:p>
      <w:pPr>
        <w:ind w:left="500" w:hanging="492"/>
        <w:spacing w:after="0" w:line="277" w:lineRule="auto"/>
        <w:tabs>
          <w:tab w:leader="none" w:pos="49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DRIVE PK, a global phase 2, first-in-patient, open-label safety and efficacy clinical trial of mitapivat in adult, transfusion-independent patients with PK deficiency. This trial has completed enrollment.</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ACTIVATE-T, a single arm, global, pivotal trial of mitapivat in up to 40 regularly-transfused patients with PK deficiency. The trial has completed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ACTIVATE, a 1:1 randomized, placebo-controlled, global, pivotal trial of mitapivat in approximately 80 patients with PK deficiency who do not receive regular transfusions. The trial has closed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A phase 2, open-label safety and efficacy clinical trial of mitapivat in approximately 20 adult patients with non-transfusion-dependent thalassemia. The trial is currently enrolling patients.</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in collaboration with the National Institutes of Health, or NIH, we are evaluating mitapivat in patients with SCD pursuant to a cooperative research and development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AG-270: Targeting MAT2A for the treatment of MTAP-deleted cancers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AG-270, an orally available selective potent inhibitor of MAT2A, is our development candidate focused on MTAP-deleted cancer. MTAP is a metabolic gene that is deleted in approximately 15 percent of all cancers. We have shown in preclinical studies that MTAP deletion predicts sensitivity to inhibition of a subset of enzymes involved in the synthesis or utilization of the methyl donor S-adenosylmethionine, or SAM. Among this subset of enzymes, we have targeted MAT2A, the enzyme responsible for the synthesis of SAM in tumor cells. We have discovered small molecule inhibitors of MAT2A, including AG-270, that reduce SAM production and cause MTAP-null antiproliferative effects in cancer cell lines in vitro and in MTAP-deleted tumor models in vivo. MTAP deletion is readily detected by a genomic or immunohistochemistry test, thus allowing the selection of patients predicted to be sensitive to the therapy.</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we announced that Celgene designated AG-270 as a development candidate under our 2016 research agreement with Celgene, or the 2016 Agreement. Pursuant to the 2016 Agreement, Celgene paid us an $8.0 million designation fee upon its designation of AG-270 as a development candidate. Exploratory research, drug discovery and early development of AG-270 is led by us, and Celgene will have an opt-in right on AG-270 up through phase 1 dose escalation for at least a $30.0 million fee. In October 2019, we formally submitted the opt-in package to Celgene and they have up to 150 days to make a decision. Should Celgene opt-in, we and Celgene would share global co-development and co-commercialization rights with a worldwide 50/50 cost and profit share on AG-270, and we will be eligible for up to $168.8 million in clinical and regulatory milestone payments.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evaluating AG-270 in a phase 1 trial in multiple tumor types carrying an MTAP deletion. The first part of the trial, which is complete, is a single agent dose-escalation phase in which cohorts of patients received ascending doses of AG-270 to determine the pharmacokinetics, pharmacodynamics and optimal dose, and schedule. The next phase of development, which was initiated in September 2019, is evaluating AG-270 in combination with taxanes in two areas of high unmet needs. One arm of the study will test AG-270 in combination with docetaxel in MTAP-deleted non-small cell lung cancer and the other arm will test AG-270 in combination with nab-paclitaxel and gemcitabine in MTAP-deleted pancreatic ductal adenocarcinoma. Both combination arms have initiated and are enrolling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AG-636: Targeting DHODH for the treatment of hematologic malignancies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discovered a lineage-specific dependence on DHODH in hematologic malignancies, particularly AML and diffuse large B-cell lymphoma. DHODH catalyzes a critical step in the biosynthesis of pyridimidines, which are critical for the production of RNA and DNA. We believe that DHODH inhibition will be differentiated from standard-of-care therapies, both by exhibiting activity in cancers that are resistant to standard-of-care chemotherapeutics and through a mechanism of anti-tumor effect that combines cell growth arrest and cellular differentiation.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evaluating AG-636, an inhibitor of DHODH, licensed to us from Aurigene Discovery Technologies Limited in a phase 1 dose-escalation trial in subjects with advanced lymphomas. This trial is currently enrolling patients.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with Celgene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2019, the acquisition of Celgene was completed by BMS, and Celgene became a wholly-owned subsidiary. We will continue to refer to our collaboration agreements with Celgene throughout this Form 10-K as being with Celgene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Agreement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2016, we entered into the 2016 Agreement focused on metabolic immuno-oncology, a developing field which aims to modulate the activity of relevant immune cells by targeting critical metabolic nodes, thereby enhancing the immune mediated anti-tumor response. In addition to new programs identified under the 2016 Agreement, both parties also agreed that all future development and commercialization of two remaining cancer metabolism programs discovered under the 2010 Agreement, including AG-270, an inhibitor of MAT2A, will now be governed by the 2016 Agreement.</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research term of the 2016 Agreement, we plan to conduct research programs focused on discovering compounds that are active against metabolic targets in the immuno-oncology, or IO, field. The initial four-year research term will expire on May 17, 2020, and may be extended for up to two, or in specified cases, up to four additional one-year terms.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each program under the 2016 Agreement, we may nominate compounds that meet specified criteria as development candidates and, in limited circumstances, Celgene may also nominate compounds as development candidates for each such program. Celgene may designate the applicable program for further development following any such nomination, after which we may conduct, at our expense, additional preclinical and clinical development for such program through the completion of an initial phase 1 dose escalation study.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the research term, Celgene may designate for continued development up to three research programs for which development candidates have yet to be nominated, which are referred to as continuation programs. We may conduct further research and preclinical and clinical development activities on any continuation program, at our expense, through the completion of an initial phase 1 dose escalation study.</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granted Celgene the right to obtain exclusive options for development and commercialization rights for each program that Celgene has designated for further development and for each continuation program. Celgene may exercise each such option beginning on the designation of a development candidate for such program (or on the designation of such program as a continuation program) and ending on the earlier of: (i) the end of a specified period after we have furnished Celgene with specified information about the initial phase 1 dose escalation study for such program, or (ii) January 1, 2030. Research programs that have applications in the inflammation or autoimmune, or I&amp;I, field that may result from the 2016 Agreement will also be subject to the exclusive options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rights to any program that Celgene does not designate for further development or as to which it does not exercise its option.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2016 Agreement, following Celgene’s exercise of its option with respect to a program, the parties will enter into either a co-development and co-commercialization agreement if such program is in the IO field, or a license agreement if such program is in the I&amp;I field. Under each co-development and co-commercialization agreement, the two parties will co-develop and co-commercialize licensed products worldwide. Either we or Celgene will lead development and commercialization of licensed products for the United States, and Celgene will lead development and commercialization of licensed products outside of the United States. Depending on the country, the parties will each have the right to provide a portion of field-based marketing activities. Under each license agreement, Celgene will have the sole right to develop and commercialize licensed products worldwide.</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Co-development and co-commercialization agreements. </w:t>
      </w:r>
      <w:r>
        <w:rPr>
          <w:rFonts w:ascii="Arial" w:cs="Arial" w:eastAsia="Arial" w:hAnsi="Arial"/>
          <w:sz w:val="16"/>
          <w:szCs w:val="16"/>
          <w:color w:val="auto"/>
        </w:rPr>
        <w:t>Under each co-development and co-commercialization agreement entered into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parties will split all post-option exercise worldwide development costs, subject to specified exceptions, as well as any profits from any net sales of, or commercialization losses related to, licensed products in the IO field. Celgene has the option to designate one program in the IO field as the 65/35 program, for which Celgene will be the lead party for the United States and will have a 65% profit or loss share. For programs in the IO field other than the 65/35 program, we and Celgene will alternate, on a program-by-program basis, being the lead party for the United States, with us having the right to be the lead party for the first such program, and each party will have a 50% profit or loss share. The lead party for the United States will book commercial sales of licensed products, if any, in the United States, and Celgene will book commercial sales of licensed products, if any, outside of the United States.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License agreements. </w:t>
      </w:r>
      <w:r>
        <w:rPr>
          <w:rFonts w:ascii="Arial" w:cs="Arial" w:eastAsia="Arial" w:hAnsi="Arial"/>
          <w:sz w:val="18"/>
          <w:szCs w:val="18"/>
          <w:color w:val="auto"/>
        </w:rPr>
        <w:t>Under each license agreement under the 2016 Agreement, Celgene will be responsible for all post-option exercise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associated costs, subject to specified exceptions, as well as worldwide commercialization and associated costs, for licensed products in the I&amp;I field.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Financial terms. </w:t>
      </w:r>
      <w:r>
        <w:rPr>
          <w:rFonts w:ascii="Arial" w:cs="Arial" w:eastAsia="Arial" w:hAnsi="Arial"/>
          <w:sz w:val="18"/>
          <w:szCs w:val="18"/>
          <w:color w:val="auto"/>
        </w:rPr>
        <w:t>Under the terms of the 2016 Agreement, we received an initial upfront payment in the amount of $200.0 million. The 2016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specified rights to extend the research term for up to two, or in specified cases, up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four, additional years by paying a $40.0 million per-year extension fee. Celgene will pay an $8.0 million designation fee for each program that Celgene designates for further development and for each continuation program. During the year ended December 31, 2017, we received $8.0 million from Celgene upon the designation of AG-270, our MAT2A inhibitor, as a development candidate. For each program as to which Celgene exercises its option to develop and commercialize, subject to antitrust clearance, Celgene will pay an option exercise fee of at least $30.0 million for any designated development program and at least $35.0 million for any continuation programs. In certain cases, Celgene may exercise its option to develop and commercialize two early-stage I&amp;I programs, prior to Celgene designating the program for further development, by paying an option exercise fee of $10.0 million per program.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are eligible to receive the following milestone-based payments associated with the 2016 Agreement: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w:t>
            </w:r>
          </w:p>
        </w:tc>
        <w:tc>
          <w:tcPr>
            <w:tcW w:w="51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Milestone</w:t>
            </w: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Amount</w:t>
            </w: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65/35 program in IO field</w:t>
            </w:r>
          </w:p>
        </w:tc>
        <w:tc>
          <w:tcPr>
            <w:tcW w:w="516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$25.0 million</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65/35 program in IO field</w:t>
            </w:r>
          </w:p>
        </w:tc>
        <w:tc>
          <w:tcPr>
            <w:tcW w:w="5160" w:type="dxa"/>
            <w:vAlign w:val="bottom"/>
          </w:tcPr>
          <w:p>
            <w:pPr>
              <w:ind w:left="190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$183.8 million</w:t>
            </w:r>
          </w:p>
        </w:tc>
      </w:tr>
      <w:tr>
        <w:trPr>
          <w:trHeight w:val="27"/>
        </w:trPr>
        <w:tc>
          <w:tcPr>
            <w:tcW w:w="37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50/50 program in IO field</w:t>
            </w:r>
          </w:p>
        </w:tc>
        <w:tc>
          <w:tcPr>
            <w:tcW w:w="516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 million</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50/50 program in IO field</w:t>
            </w:r>
          </w:p>
        </w:tc>
        <w:tc>
          <w:tcPr>
            <w:tcW w:w="5160" w:type="dxa"/>
            <w:vAlign w:val="bottom"/>
          </w:tcPr>
          <w:p>
            <w:pPr>
              <w:ind w:left="190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$148.8 million</w:t>
            </w:r>
          </w:p>
        </w:tc>
      </w:tr>
      <w:tr>
        <w:trPr>
          <w:trHeight w:val="27"/>
        </w:trPr>
        <w:tc>
          <w:tcPr>
            <w:tcW w:w="37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I&amp;I field</w:t>
            </w:r>
          </w:p>
        </w:tc>
        <w:tc>
          <w:tcPr>
            <w:tcW w:w="516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$25.0 million</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I&amp;I field</w:t>
            </w:r>
          </w:p>
        </w:tc>
        <w:tc>
          <w:tcPr>
            <w:tcW w:w="5160" w:type="dxa"/>
            <w:vAlign w:val="bottom"/>
          </w:tcPr>
          <w:p>
            <w:pPr>
              <w:ind w:left="190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$236.3 million</w:t>
            </w:r>
          </w:p>
        </w:tc>
      </w:tr>
      <w:tr>
        <w:trPr>
          <w:trHeight w:val="27"/>
        </w:trPr>
        <w:tc>
          <w:tcPr>
            <w:tcW w:w="37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I&amp;I field</w:t>
            </w:r>
          </w:p>
        </w:tc>
        <w:tc>
          <w:tcPr>
            <w:tcW w:w="516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Specified commercial milestone events</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Up to $125.0 million</w:t>
            </w:r>
          </w:p>
        </w:tc>
      </w:tr>
      <w:tr>
        <w:trPr>
          <w:trHeight w:val="27"/>
        </w:trPr>
        <w:tc>
          <w:tcPr>
            <w:tcW w:w="3780" w:type="dxa"/>
            <w:vAlign w:val="bottom"/>
            <w:shd w:val="clear" w:color="auto" w:fill="000000"/>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24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for each licensed program in the I&amp;I field, we are eligible to receive royalties at tiered, low double-digit percentage rates on Celgene’s net sales, if any, of the applicable licensed products.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Opt-out right. </w:t>
      </w:r>
      <w:r>
        <w:rPr>
          <w:rFonts w:ascii="Arial" w:cs="Arial" w:eastAsia="Arial" w:hAnsi="Arial"/>
          <w:sz w:val="17"/>
          <w:szCs w:val="17"/>
          <w:color w:val="auto"/>
        </w:rPr>
        <w:t>Under the 2016 Agreement, we may elect to opt out of the cost and profit share under any co-development and co-commercialization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subject to specified exceptions. Upon opting out, Celgene will have the sole right to develop, manufacture and commercialize the applicable licensed products throughout the world, at its cost, and we will undertake transitional activities reasonably necessary to transfer the development, manufacture and commercialization of such licensed products to Celgene, at our expense. Further, in lieu of the profit or loss sharing described above, we would be eligible to receive royalties at tiered, low double-digit percentage rates on Celgene’s net sales, if any, of the applicable licensed products. However, we would continue to be eligible to receive the developmental and regulatory milestone-based payments described above.</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Term. </w:t>
      </w:r>
      <w:r>
        <w:rPr>
          <w:rFonts w:ascii="Arial" w:cs="Arial" w:eastAsia="Arial" w:hAnsi="Arial"/>
          <w:sz w:val="16"/>
          <w:szCs w:val="16"/>
          <w:color w:val="auto"/>
        </w:rPr>
        <w:t>The term of the 2016 Agreement commenced on May 17, 2016 and, if not terminated earlier, will expire upon the later of the last-to-expire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term and all option exercise periods, or, if an option is exercised by Celgene for one or more programs in the collaboration, upon the termination or expiration of the last-to-exist co-development and co-commercialization agreement or license agreement, as applicable, for any such program.</w:t>
      </w:r>
    </w:p>
    <w:p>
      <w:pPr>
        <w:spacing w:after="0" w:line="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Subject to specified exceptions, Celgene may terminate the 2016 Agreement in its entirety for any reason by providing us with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notice if there are no active co-development and co-commercialization agreements or license agreements in place or on a program-by-program basis if there are no active co-development and co-commercialization agreements or license agreements in place for the terminated program(s). Under specified circumstances, either party may terminate the 2016 Agreement either in its entirety or on a program-by-program basis. Either party also has the right to terminate the co-development and co-commercialization agreement or license agreement if the other party or any of its affiliates challenges the validity, scope or enforceability of or otherwise opposes, any patent included within the intellectual property rights licensed to the other party under such agreement.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Exclusivity. </w:t>
      </w:r>
      <w:r>
        <w:rPr>
          <w:rFonts w:ascii="Arial" w:cs="Arial" w:eastAsia="Arial" w:hAnsi="Arial"/>
          <w:sz w:val="18"/>
          <w:szCs w:val="18"/>
          <w:color w:val="auto"/>
        </w:rPr>
        <w:t>While any of Celgene’s options remain available under the 2016 Agreement, subject to specified exceptions, we may not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manufacture or commercialize, outside of the 2016 Agreement, any therapeutic modality in the IO or I&amp;I field with specified activity against a metabolic target.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term of each co-development and co-commercialization agreement and license agreement, subject to specified exceptions, neither we nor Celgene may directly or indirectly develop, manufacture or commercialize outside of such agreement any therapeutic modality in any field with specified activity against the metabolic target that is the focus of the program licensed under such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Ivosidenib Letter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2016, we entered into a letter agreement with Celgene regarding ivosidenib, or the Ivosidenib Letter Agreement. Under the Ivosidenib Letter Agreement, the parties agreed to terminate the 2010 Agreement, effective as of August 15, 2016, as to the program directed to the IDH1 target, for which ivosidenib is the lead development candidate. Under the 2010 Agreement, Celgene had held development and commercialization rights to the IDH1 program outside of the United States, and we held such rights inside the United States. As a result of the Ivosidenib Letter Agreement, we obtained global rights to ivosidenib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IDH1 program. Neither party will have any further financial obligation, including royalties or milestone payments, to the other concerning ivosidenib or the IDH1 program. Under the terms of the Ivosidenib Letter Agreement, the parties also agreed to conduct specified transitional activities in connection with the termination. In addition, pursuant to the Ivosidenib Letter Agreement, the parties are released from their exclusivity obligations under the 2010 Agreement with respect to the IDH1 program. The Ivosidenib Letter Agreement does not affect the AG-881 Agreements, which were directed to both the IDH1 target and the IDH2 target, and were subsequently terminated in September 2018 as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AG-881 Agreements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2018, we and Celgene agreed to terminate our joint worldwide collaboration focused on the development and commercialization of vorasidenib products, or the AG-881 Agreements, effective as of September 4, 2018. From and after September 4, 2018, we obtained sole global rights to vorasidenib. Neither we nor Celgene will have any further financial obligation under the AG-881 Agreements, including milestones, royalties or other payments, except that (a) Celgene is eligible to receive royalties from us at a low single-digit percentage rate on worldwide net sales of products containing vorasidenib and (b) we and Celgene agreed to split certain agreed-upon worldwide development costs for vorasidenib until December 31, 2018. In addition, for a specified period and subject to specified exceptions, Celgene and its affiliates are prohibited from developing, manufacturing or commercializing any product that inhibits IDH1 at specified levels of binding for any indication and we are prohibited from developing, manufacturing or commercializing vorasidenib in hematologic indications.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2010 Agreement, which was entered into in April 2010, was amended in October 2011 and July 2014. The goal of the collaboration was to discover, develop and commercialize disease-altering therapies in oncology based on our cancer metabolism research platform. We initially led discovery, preclinical and early clinical development for all cancer metabolism programs under the collaboration. The discovery phase of the 2010 Agreement expired in April 2016.</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agreement to terminate the 2010 Agreement, effective as of August 15, 2016, as to the program directed to the IDH1 target, for which ivosidenib is the lead development candidate, the sole program remaining under the 2010 Agreement is IDHIFA®, a co-commercialized licensed program for which Celgene leads and funds global development and commercialization activities. We have exercised our right to participate in a portion of commercialization activities in the United States for IDHIFA® in accordance with the applicable commercialization plan.</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Exclusivity</w:t>
      </w:r>
      <w:r>
        <w:rPr>
          <w:rFonts w:ascii="Arial" w:cs="Arial" w:eastAsia="Arial" w:hAnsi="Arial"/>
          <w:sz w:val="16"/>
          <w:szCs w:val="16"/>
          <w:color w:val="auto"/>
        </w:rPr>
        <w:t>. Until termination or expiration of the agreement, either in its entirety or with respect to the relevant program, we may not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manufacture or commercialize, outside of the collaboration, any therapeutic modality with specified activity against any collaboration target that is within a licensed program or against any former collaboration target against which Celgene is conducting an independent program under the agreement.</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Financial terms. </w:t>
      </w:r>
      <w:r>
        <w:rPr>
          <w:rFonts w:ascii="Arial" w:cs="Arial" w:eastAsia="Arial" w:hAnsi="Arial"/>
          <w:sz w:val="18"/>
          <w:szCs w:val="18"/>
          <w:color w:val="auto"/>
        </w:rPr>
        <w:t>Under the remaining terms of the 2010 Agreement, we are eligible to receive up to $80.0 million in potential milestone payments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IDHIFA® program. The potential milestone payments are comprised of: (i) up to $55.0 million in milestone payments upon achievement of specified ex-U.S. regulatory milestone events, of which $35.0 million relates to the first regulatory approval in any of China, Japan or a major European country, and (ii) a $25.0 million milestone payment upon achievement of a specified commercial milestone event.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2010 Agreement, we are eligible to receive royalties at tiered, low-double digit to mid-teen percentage rates on net sales of IDHIFA®. Assuming all other revenue recognition criteria are met, royalty payments will be recognized as revenue in the period in which they are earned. During the year ended December 31, 2019, we earned $10.5 million in royalty revenue under the 2010 Agreement.</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Unless terminated earlier by either party, the term of the 2010 Agreement will continue until the expiration of all royalty terms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IDHIFA®. Celgene may terminate the 2010 Agreement for convenience in its entirety or with respect to IDHIFA® upon ninety days written notice to us. Under specified circumstances, either we or Celgene may terminate the 2010 Agreement, in its entirety or with respect to IDHIFA®.</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Celgene terminates the 2010 Agreement as a result of our uncured material breach, then certain of our rights and certain of Celgene’s obligations described above would change with respect to the terminated program(s), including, for example: the licenses we granted to Celgene would become perpetual; milestone payments to which we may be entitled may be reduced or eliminated; and royalties to which we may be entitled may be reduced or eliminated.</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Celgene terminates the 2010 Agreement for convenience or if we terminate the agreement as a result of Celgene’s uncured material breach, the license we granted to Celgene with respect to IDHIFA® will end, and we will have specified rights for, and Celgene will take specified actions to assist us in continuing, the development, manufacture and commercialization of medicines from the IDHIFA® program.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CStone Agreement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2018, we entered into the CStone Agreement for the development and commercialization of certain products containing ivosidenib in mainland China, Hong Kong, Macau, and Taiwan for therapeutic uses in humans, excluding brain cancer, unless added by us in our sole discretion. We retain development and commercialization rights for the rest of the world.</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the CStone Agreement, CStone will initially be responsible for the development and commercialization of ivosidenib in AML and cholangiocarcinoma, as well as other indications that the parties mutually agree to in the future; we serve as co-sponsor with CStone for local studies of ivosidenib in AML. CStone will also be responsible, at our discretion, for the development and commercialization of ivosidenib in brain cancer indications. We granted CStone specified intellectual property licenses to enable CStone to perform its obligations and exercise its rights under the CStone Agreement, including license grants to enable CStone to conduct development and commercialization activities pursuant to the terms of the CStone Agreement.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CStone is responsible for all costs it incurs in developing, obtaining regulatory approval of, and commercializing ivosidenib in mainland China, Hong Kong, Macau, and Taiwan, as well as certain costs incurred by us.</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term of the CStone Agreement, each party and its affiliates are prohibited from developing or commercializing any other compound or product that inhibits IDH1 mutations at specified levels of binding, in the case of CStone, anywhere in the world, and in the case of us, in mainland China, Hong Kong, Macau, and Taiwan. Subject to specified exceptions, CStone and its affiliates are also prohibited from developing or commercializing certain other compounds or products that directly or indirectly treat AML, cholangiocarcinoma or, if applicable, glioma in patients who have an IDH1 mutation.</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CStone Agreement, we have entered into a clinical supply agreement and pharmacovigilance agreement with CStone, and will enter into further ancillary agreements, including commercial supply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for our product candidates and our core technologies, including novel biomarker and diagnostic discoveries,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file, or collaborate with third parties to file, patent applications directed to our key product candidates, including TIBSOVO® (ivosidenib), IDHIFA® (enasidenib), vorasidenib, mitapivat, AG-270 and AG-636, in an effort to establish intellectual property positions regarding new chemical entities relating to these product candidates as well as uses of new chemical entities in the treatment of diseases. We also seek patent protection with respect to biomarkers that may be useful in selecting the right patient population for therapies with our product candidates. As of February 1, 2020 we owned or licensed approximately issued 31 U.S. patents, 316 issued foreign patents, 37 pending U.S. patent applications, 460 pending foreign patent applications, and 13 pending Patent Cooperation Treaty, or PCT, patent applications, directed to our key product candidates, related compounds and potential backup compounds. The foreign issued patents and patent applications are in a number of jurisdictions, including Argentina, Australia, Austria, Belgium, Brazil, Canada, China, the Czech Republic, Denmark, Finland, France, Germany, Greece, Hungary, Ireland, Italy, Japan, Lithuania, Mexico, the Netherlands, Norway, Poland, Portugal, Romania, Slovakia, Slovenia, Spain, Sweden, Switzerland, Turkey, and the United Kingdom.</w:t>
      </w:r>
    </w:p>
    <w:p>
      <w:pPr>
        <w:spacing w:after="0" w:line="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intellectual property portfolios for our most advanced programs as of February 1, 2020 are summarized below. Prosecution is a lengthy process, during which the scope of the claims initially submitted for examination by the U.S. Patent and Trademark Office, or USPTO, can be significantly narrowed by the time they issue, if they issue at all. We expect this could be the case with respect to some of our pending patent applications referred to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IDH mutant inhibitor programs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intellectual property portfolio for our IDH mutant inhibitor programs contains patent applications directed to compositions of matter for TIBSOVO® (ivosidenib), IDHIFA® (enasidenib), and vorasidenib, as well as analogs thereof, methods of use, various solid state forms of these compounds and diagnostic methods for detecting various IDH1 and IDH2 mutations. As of February 1, 2020, we owned approximately 21 issued U.S. patents, 152 issued foreign patents, 24 pending U.S. patent applications, 327 pending foreign patent applications in a number of jurisdictions, and 5 pending PCT patent applications, directed to our IDH mutant product candidates. The patents that have issued or will issue for our IDH mutant product candidates will have a statutory expiration date of at least 2033 to 2039. Patent term adjustments or patent term extensions could result in later expiration 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PK activator program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intellectual property portfolio for our PK activator program contains patent applications directed to compositions of matter for mitapivat and AG-946, as well as analogs thereof, various solid state forms of these compounds, as well as methods of use for these novel compounds. As of February 1, 2020, we owned approximately 5 issued U.S. patents, 116 issued foreign patents, 6 pending U.S. patent applications, 44 pending foreign patent applications in a number of jurisdictions, and 3 pending PCT patent applications, directed to our PK activator program, including our product candidates. The patents that have issued or will issue for our PK activator program will have a statutory expiration date of at least 2030 to 2038. Patent term adjustments or patent term extensions could result in later expiration dates.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MTAP-deleted cancer program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intellectual property portfolio for our MTAP-deleted cancer program contains patent applications directed to compositions of matter for AG-270, as well as analogs thereof and other related compound families including potential backup compounds, as well as methods of use for these novel compounds and diagnostic methods for detecting MTAP deletions. As of February 1, 2020, we owned approximately 1 issued U.S. patent, 4 pending U.S. patent applications, 1 foreign issued patent, 46 pending foreign patent applications, and 3 pending PCT patent applications, directed to our MTAP-deleted cancer program. The patents that would issue for our MTAP-deleted cancer program will have a statutory expiration date of at least 2036 to 2039. Patent term adjustments or patent term extensions could result in later expiration dates.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DHODH inhibitor program</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intellectual property portfolio for our DHODH inhibitor program contains patents and patent applications, exclusively licensed to us by Aurigene, directed to compositions of matter for AG-636, as well as analogs thereof and other compound families, as well as methods of use for these novel compounds. The intellectual property portfolio for our DHODH inhibitor program further contains patent applications, assigned solely to Agios, that are directed to solid state forms and formulations of AG-636 and methods of use for these forms of AG-636, other methods of use for AG-636 and methods of use and diagnostic methods relating to AG-636 and other DHODH inhibitors. As of February 1, 2020, we exclusively licensed or independently filed approximately 4 issued U.S. patents, 47 issued foreign patents, 3 pending U.S. patent applications, 43 pending foreign patent applications, and 2 pending PCT patent applications directed to our DHODH inhibitor program. The patents that have issued or will issue for our DHODH inhibitor program will have a statutory expiration date of at least 2030 to 2039. Patent term adjustments or patent term extensions could result in later expiration dates.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although term extensions may be available.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The extension of the term of foreign patents varies, in accordance with local law. Although certain of the patents granted by the regulatory authorities of the EU may expire at specific dates, the terms of patents granted in certain European countries may extend beyond such EU patent expiration date if we were to obtain a supplementary protection certificate.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if and when our product candidates receive approval by the FDA or foreign regulatory authorities, we expect to apply for patent term extensions on issued patents covering those products, depending upon the length of the clinical trials for each medicine and other factors. There can be no assurance that any of our pending patent applications will be issued or that we will benefit from any patent term extension or favorable adjustment to the term of any of our patents.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patent applications that we may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with the USPTO to determine priority of invention, which could result in substantial costs to us, even if the eventual outcome is favorable to us.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reducing any advantage of any such patent.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patents, we rely upon unpatented trade secrets and know-how and continuing technological innovation to develop and maintain our competitive position. We seek to protect our proprietary information, in part, using confidentiality agreements with our collaborators, third-party service providers, scientific advisors, employees and consultants, and invention assignment agreements with our employees. We also have agreements requiring assignment of inventions with selected consultants, scientific advisors and collaborators. The confidentiality agreements are designed to protect our proprietary information and, in the case of agreements or clauses requiring invention assignment, to grant us ownership of technologies that are developed through a relationship with a third party.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proprietary cellular metabolism technology platform,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compete in the areas of pharmaceutical, biotechnology and other related markets that address hematologic malignancies, solid tumors and RGDs. There are other companies working to develop therapies in the fields of hematologic malignancies, solid tumors and RGDs. These companies include divisions of large pharmaceutical companies and biotechnology companies of various sizes.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Malignant Hematology and Solid Tumors</w:t>
      </w:r>
      <w:r>
        <w:rPr>
          <w:rFonts w:ascii="Arial" w:cs="Arial" w:eastAsia="Arial" w:hAnsi="Arial"/>
          <w:sz w:val="16"/>
          <w:szCs w:val="16"/>
          <w:color w:val="auto"/>
        </w:rPr>
        <w:t>. In the fields of malignant hematology and solid tumors, our principal competitors include AbbVie Inc., ASLAN</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Limited; AstraZeneca Plc.; Astellas Pharma Inc.; Bayer AG; BeiGene Ltd.; BMS; Clear Creek Bio; Daiichi Sankyo Company, Ltd.; Eli Lilly and Company; Forma Therapeutics Holdings, LLC; GlaxoSmithKline plc; Jazz Pharmaceuticals plc; Merck &amp; Co.; Novartis International AG; Pfizer, Inc.; and Roche Holdings, Inc. and its subsidiary Genentech, Inc. The most common methods of treating patients with hematologic malignancies and solid tumors are surgery, radiation and drug therapy, including chemotherapy, hormone therapy and targeted drug therapy, and there are a variety of available drug therapies marketed for these cancer types. For example, other than TIBSOVO® and IDHIFA®, recently-approved treatments for AML include Venclexta® from AbbVie (in collaboration with Roche); Xospata® from Astellas; Rydapt® from Novartis; Vyxeos® from Jazz; and Daurismo® and Mylotarg® from Pfizer. Recently approved treatments for solid tumors include Keytruda® from Merck, Rozlytrek® from Roche and Vitrakvi® from Bayer (in collaboration with Loxo Oncology, Inc.), and in some cases, these drugs are administered in combination to enhance efficacy. While our products and product candidates may compete with many existing drug and other therapies, to the extent they are ultimately used in combination with or as an adjunct to these therapies, our product candidates may not be competitive with them. Some of the currently approved drug therapies are branded and subject to patent protection, and others are available on a generic basis. Many of these approved drugs are well-established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are successful in treating all patients. As a result, the level of morbidity and mortality from cancer remains high.</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currently marketed therapies, there are also a number of medicines, including immuno-oncology therapies in clinical development to treat hematologic malignancies and solid tumors. For example: Bayer, Daiichi Sankyo and Forma are conducting phase 1 clinical trials of their IDH mutant inhibitors, BAY1436032, DS-1001b and FT-2102, respectively, in patients with hematologic and solid tumors, including AML, MDS and glioma; ASLAN, Bayer, Clear Creek Bio, and PTC Therapeutics, Inc. are conducting clinical trials of their DHODH inhibitors in hematologic malignancies; and IDEAYA Biosciences, Inc is developing a MAT2A inhibitor for the treatment of MTAP-deleted solid tumors. These medicines in development may provide efficacy, safety, convenience and other benefits that are not provided by currently marketed therapies. As a result, they may provide significant competition for any of our product candidates for which we obtain market approval. For example, several investigators have reported that IDH mutant AML and glioma are sensitive to poly (ADP-ribose) polymerase inhibition in cell culture and animal models.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Rare genetic diseases</w:t>
      </w:r>
      <w:r>
        <w:rPr>
          <w:rFonts w:ascii="Arial" w:cs="Arial" w:eastAsia="Arial" w:hAnsi="Arial"/>
          <w:sz w:val="18"/>
          <w:szCs w:val="18"/>
          <w:color w:val="auto"/>
        </w:rPr>
        <w:t>. In the field of RGDs, our principal competitors include: Acceleron Pharma Inc.; BioMarin Pharmaceutical, Inc.; bluebird bio, Inc.;</w:t>
      </w:r>
      <w:r>
        <w:rPr>
          <w:rFonts w:ascii="Arial" w:cs="Arial" w:eastAsia="Arial" w:hAnsi="Arial"/>
          <w:sz w:val="18"/>
          <w:szCs w:val="18"/>
          <w:i w:val="1"/>
          <w:iCs w:val="1"/>
          <w:color w:val="auto"/>
        </w:rPr>
        <w:t xml:space="preserve"> </w:t>
      </w:r>
      <w:r>
        <w:rPr>
          <w:rFonts w:ascii="Arial" w:cs="Arial" w:eastAsia="Arial" w:hAnsi="Arial"/>
          <w:sz w:val="18"/>
          <w:szCs w:val="18"/>
          <w:color w:val="auto"/>
        </w:rPr>
        <w:t>Forma; Novartis; Pfizer; Global Blood Therapeutics; and Rocket Pharma LTD.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most common methods for treating patients with RGDs are dietary restriction, dietary supplementation or replacement, treatment of symptoms and complications, gene therapy, organ transplant and enzyme replacement therapies. There are a number of marketed therapies available for treating patients with RGDs. For example, recently-approved treatments for thalassemia, sickle cell disease, and phenylketonuria include Reblozyl® from Acceleron (in collaboration with BMS); Lentiglobin® from bluebird; Adakveo® from Novartis; Oxbryta® from Global Blood; and Kuvan® and Palynziq® from BioMarin. While our product candidates may compete with existing medicines and other therapies, to the extent they are ultimately used in combination with or as an adjunct to these therapies, our product candidates may not be competitive with them. In addition to currently marketed therapies, there are also a number of products that are either small molecules, enzyme replacement therapies or gene therapies in various stages of clinical development to treat RGDs. For example, Forma is conducting phase 1 clinical trial of their PKR activator, FT-4202, in patients with SCD. These products in development may provide efficacy, safety, convenience and other benefits that are not provided by currently marketed therapies. As a result, they may provide competition for any of our product candidates for which we obtain market approval.</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medicines that are safer, more effective, have fewer or less severe side effects, are more convenient or are less expensive than any medicines that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or other branded medicines. There are many generic medicines currently on the market for the indications that we are pursuing, and additional medicines are expected to become available on a generic basis over the coming years. If our therapeutic product candidates are approved, we expect that they will be priced at a significant premium over competitive generic medicines.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on third parties for the manufacture of our product candidates for preclinical and clinical testing, as well as for commercial manufacture of any products that we may commercialize. To date, we have obtained materials for ivosidenib, enasidenib, vorasidenib, mitapivat, AG-270 and AG-636 for our ongoing and planned clinical testing from third-party manufacturers. Although we have long-term supply arrangements in place for the commercial supply of TIBSOVO®, we primarily obtain our supplies from these manufacturers on a purchase order basis. Due to the volatility of the raw material supply network globally, we have gained regulatory approval for redundant supply of raw materials, and have an ongoing program to ensure this risk mitigation remains effective. We do not currently have arrangements in place for redundant supply for bulk drug substance and drug product, but maintain a broad safety stock program. As we have done for TIBSOVO®, for all of our other product candidates we intend to identify and qualify additional manufacturers to provide the active pharmaceutical ingredient and fill-and-finish services prior to submission of a NDA to the FDA.</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Ivosidenib, enasidenib, vorasidenib, mitapivat, AG-270 and AG-636 are organic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to develop drug candidates that can be produced cost-effectively at contract manufacturing facilities.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rely on third parties for the manufacture and sale of any companion diagnostics we develop.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 extensively regulate, among other things, the research, development, testing, manufacture, pricing, quality control, approval, packaging, storage, recordkeeping, labeling, advertising, promotion, distribution, marketing, post-approval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and Regulation of Drugs in the United States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DOJ, or other government entities, including state agencies.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62" w:lineRule="exact"/>
        <w:rPr>
          <w:sz w:val="20"/>
          <w:szCs w:val="20"/>
          <w:color w:val="auto"/>
        </w:rPr>
      </w:pPr>
    </w:p>
    <w:p>
      <w:pPr>
        <w:ind w:left="500" w:hanging="492"/>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for human clinical testing, which must become effective before human clinical trials may begin;</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63"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8"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labeling for one or more proposed indication(s);</w:t>
      </w:r>
    </w:p>
    <w:p>
      <w:pPr>
        <w:spacing w:after="0" w:line="19"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63" w:lineRule="exact"/>
        <w:rPr>
          <w:rFonts w:ascii="Arial" w:cs="Arial" w:eastAsia="Arial" w:hAnsi="Arial"/>
          <w:sz w:val="18"/>
          <w:szCs w:val="18"/>
          <w:color w:val="auto"/>
        </w:rPr>
      </w:pPr>
    </w:p>
    <w:p>
      <w:pPr>
        <w:jc w:val="both"/>
        <w:ind w:left="500" w:hanging="492"/>
        <w:spacing w:after="0" w:line="286" w:lineRule="auto"/>
        <w:tabs>
          <w:tab w:leader="none" w:pos="4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satisfactory completion of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3" w:lineRule="exact"/>
        <w:rPr>
          <w:rFonts w:ascii="Arial" w:cs="Arial" w:eastAsia="Arial" w:hAnsi="Arial"/>
          <w:sz w:val="17"/>
          <w:szCs w:val="17"/>
          <w:color w:val="auto"/>
        </w:rPr>
      </w:pPr>
    </w:p>
    <w:p>
      <w:pPr>
        <w:ind w:left="500" w:hanging="492"/>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risk evaluation and mitigation strategies, or REMS, and the potential requirement to conduct any post-approval studies required by the FDA.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or partial clinical hold. In this case, the IND sponsor and the FDA must resolve any outstanding concerns before clinical trials can begin.</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commencement of a clinical trial under an IND, the FDA may also place a clinical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NDA. The final rule provides that such studies must be conducted in accordance with GCP, including review and approval by an independent ethics committee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80" w:lineRule="exact"/>
        <w:rPr>
          <w:sz w:val="20"/>
          <w:szCs w:val="20"/>
          <w:color w:val="auto"/>
        </w:rPr>
      </w:pPr>
    </w:p>
    <w:p>
      <w:pPr>
        <w:ind w:right="760"/>
        <w:spacing w:after="0" w:line="375" w:lineRule="auto"/>
        <w:rPr>
          <w:sz w:val="20"/>
          <w:szCs w:val="20"/>
          <w:color w:val="auto"/>
        </w:rPr>
      </w:pPr>
      <w:r>
        <w:rPr>
          <w:rFonts w:ascii="Arial" w:cs="Arial" w:eastAsia="Arial" w:hAnsi="Arial"/>
          <w:sz w:val="18"/>
          <w:szCs w:val="18"/>
          <w:color w:val="auto"/>
        </w:rPr>
        <w:t xml:space="preserve">Information about clinical trials must be submitted within specific timeframes to the NIH for public dissemination on its ClinicalTrials.gov website. </w:t>
      </w:r>
      <w:r>
        <w:rPr>
          <w:rFonts w:ascii="Arial" w:cs="Arial" w:eastAsia="Arial" w:hAnsi="Arial"/>
          <w:sz w:val="18"/>
          <w:szCs w:val="18"/>
          <w:b w:val="1"/>
          <w:bCs w:val="1"/>
          <w:i w:val="1"/>
          <w:iCs w:val="1"/>
          <w:color w:val="auto"/>
        </w:rPr>
        <w:t>Expanded Access to an Investigational Drug for Treatment Use</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clinical investigations that could support marketing approval of the product or otherwise compromise the potential development of the product.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13, 2016, the 21st Century Cures Act established (and the 2017 FDA Reauthorization Act later amended) a requirement that sponsors of one or more investigational drugs for the treatment of a serious disease or condition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May 30, 2018, the Right to Try Act was signed into law. The law, among other things, provides a federal framework for certain patients to access certain investigational new drug products that have completed a Phase I clinical trial and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in support of an NDA</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 acceptable</w:t>
      </w:r>
      <w:r>
        <w:rPr>
          <w:rFonts w:ascii="Arial" w:cs="Arial" w:eastAsia="Arial" w:hAnsi="Arial"/>
          <w:sz w:val="17"/>
          <w:szCs w:val="17"/>
          <w:i w:val="1"/>
          <w:iCs w:val="1"/>
          <w:color w:val="auto"/>
        </w:rPr>
        <w:t xml:space="preserve"> </w:t>
      </w:r>
      <w:r>
        <w:rPr>
          <w:rFonts w:ascii="Arial" w:cs="Arial" w:eastAsia="Arial" w:hAnsi="Arial"/>
          <w:sz w:val="17"/>
          <w:szCs w:val="17"/>
          <w:color w:val="auto"/>
        </w:rPr>
        <w:t>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unexpected serious harm to patients. The FDA will typically inspect one or more clinical sites to assure compliance with GCP and the integrity of the clinical data submitted.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an NDA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2020 is $2,943,956 for an application requiring clinical data. The sponsor of an approved NDA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submission of an NDA, the FDA conducts a preliminary review of the application generally within 60 calendar days of its receipt and strives to inform the sponsor by the 74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NME.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passage of the 21st Century Cures Act, or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endpoints sooner than possible for trials with clinical or survival endpoints, rather than deriving from any explicit shortening of the FDA approval timeline, as is the case with priority review.</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Oncology Review of Supplemental NDAs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its Oncology Center for Excellence, or OCE, the FDA has established two pilot programs allowing for real-time review of sNDAs for previously approved oncology products. This approach will allow FDA to evaluate clinical data as soon as the results of a clinical trial become available with the objective of reviewing and approving a new indication soon after an applicant files the sNDA. The first of these pilot programs, Real-Time Oncology Review, or RTOR, focuses on early submission of data that are the most relevant to assessing the product’s safety and effectiveness. RTOR allows the FDA to review much of the data earlier, after the clinical trial results become available and the database is locked, but before the information is formally submitted to the agency.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has established several criteria to determine whether a sNDA may be selected for RTOR. Those criteria include whether: the drug is likely to demonstrate substantial improvements over available therapy; the study design is straight forward, as determined by the review division and the OCE; the endpoints can be easily interpreted. SNDAs with chemistry, manufacturing and control formulation changes and supplements with pharmacology/toxicology data are excluded from RTOR. In addition, submissions with greater complexity, including those with companion diagnostics, may also be excluded for the purposes of the pilot program. On the basis of these criteria, the appropriate FDA review division and OCE management will jointly decide whether the application can be selected for the RTOR pilot program.</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FDA determines that RTOR is an appropriate review pathway, the applicant can send pre-submission data to the agency under the original NDA two to four weeks after all patient data have been entered and locked in the database, and the applicant is ready to request FDA approval. The package should also include key raw and derived datasets, including safety/efficacy tables and figures, study protocol and amendments, and a draft of the package insert. The applicant must also submit key results, analysis, and datasets for other disciplines, if applicable. The FDA will then evaluate these materials for sufficiency and integrity so that it can analyze the data to properly address key regulatory questions. By the time the applicant submits the application to the FDA, the review team will have completed the analysis and be familiar with the data, and can conduct a more efficient, timely, and thorough review.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an NDA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its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the approved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FDA approves a new product, it may limit the approved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Accordingly, the sponsor and its third-party manufacturers must continue to expend time, money and effort in the areas of production and quality control to maintain compliance with cGMP and other regulatory requirements.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license approvals;</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DSCSA, which regulate the distribution and tracing of prescription drug samples at the federal level, and set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505(b)(2) NDAs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(8) months for a drug that has three (3)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or FDASIA. Unless otherwise required by regulation, the pediatric data requirements do not apply to products with orphan designation.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an NDA three years after the date of enactment of that statute must submit pediatric assessments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NDA if the drug is intended for the treatment of an adult cancer and is directed at a molecular target that the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when a clinical investigation involving human beings has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safe and effective use of a therapeutic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Device Evaluation and Safety.</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which imposes elaborate testing, control, documentation and other quality assurance requirements.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a manufacturer fails to comply with applicable regulatory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9" w:lineRule="exact"/>
        <w:rPr>
          <w:sz w:val="20"/>
          <w:szCs w:val="20"/>
          <w:color w:val="auto"/>
        </w:rPr>
      </w:pPr>
    </w:p>
    <w:p>
      <w:pPr>
        <w:jc w:val="both"/>
        <w:ind w:left="500" w:hanging="492"/>
        <w:spacing w:after="0" w:line="259"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4" w:lineRule="exact"/>
        <w:rPr>
          <w:rFonts w:ascii="Arial" w:cs="Arial" w:eastAsia="Arial" w:hAnsi="Arial"/>
          <w:sz w:val="18"/>
          <w:szCs w:val="18"/>
          <w:color w:val="auto"/>
        </w:rPr>
      </w:pPr>
    </w:p>
    <w:p>
      <w:pPr>
        <w:jc w:val="both"/>
        <w:ind w:left="500" w:hanging="492"/>
        <w:spacing w:after="0" w:line="259"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500" w:hanging="492"/>
        <w:spacing w:after="0" w:line="264"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9"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8" w:lineRule="exact"/>
        <w:rPr>
          <w:rFonts w:ascii="Arial" w:cs="Arial" w:eastAsia="Arial" w:hAnsi="Arial"/>
          <w:sz w:val="18"/>
          <w:szCs w:val="18"/>
          <w:color w:val="auto"/>
        </w:rPr>
      </w:pPr>
    </w:p>
    <w:p>
      <w:pPr>
        <w:ind w:left="500" w:hanging="492"/>
        <w:spacing w:after="0" w:line="298" w:lineRule="auto"/>
        <w:tabs>
          <w:tab w:leader="none" w:pos="4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jc w:val="both"/>
        <w:ind w:left="500" w:hanging="492"/>
        <w:spacing w:after="0" w:line="276" w:lineRule="auto"/>
        <w:tabs>
          <w:tab w:leader="none" w:pos="4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0" w:lineRule="exact"/>
        <w:rPr>
          <w:rFonts w:ascii="Arial" w:cs="Arial" w:eastAsia="Arial" w:hAnsi="Arial"/>
          <w:sz w:val="17"/>
          <w:szCs w:val="17"/>
          <w:color w:val="auto"/>
        </w:rPr>
      </w:pPr>
    </w:p>
    <w:p>
      <w:pPr>
        <w:ind w:left="500" w:hanging="492"/>
        <w:spacing w:after="0" w:line="277"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United States and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status is attained for one or more products for which a company or its collaborators receive marketing approval, less favorable coverage policies and reimbursement rates may be implemented in the future.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biologics and other medical products, government control and other changes to the health care system in the United States.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38" w:lineRule="exact"/>
        <w:rPr>
          <w:sz w:val="20"/>
          <w:szCs w:val="20"/>
          <w:color w:val="auto"/>
        </w:rPr>
      </w:pPr>
    </w:p>
    <w:p>
      <w:pPr>
        <w:ind w:left="500" w:hanging="492"/>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8" w:lineRule="exact"/>
        <w:rPr>
          <w:rFonts w:ascii="Arial" w:cs="Arial" w:eastAsia="Arial" w:hAnsi="Arial"/>
          <w:sz w:val="18"/>
          <w:szCs w:val="18"/>
          <w:color w:val="auto"/>
        </w:rPr>
      </w:pPr>
    </w:p>
    <w:p>
      <w:pPr>
        <w:ind w:left="500" w:hanging="492"/>
        <w:spacing w:after="0" w:line="298"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jc w:val="both"/>
        <w:ind w:left="500" w:hanging="492"/>
        <w:spacing w:after="0" w:line="264"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63"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(and 70% starting January 1, 2019) point-of-sale-discount off the negotiated price of applicable brand drugs to eligible beneficiaries during their coverage gap period as a condition for the manufacturers’ outpatient drugs to be covered under Medicare Part D; and</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enactment of the ACA, there have been numerous legal challenges and Congressional actions to repeal and replace provisions of the law. For example, with enactment of the Tax Cuts and Jobs Act of 2017, or TCJA, which was signed by the President on December 22, 2017, Congress repealed the “individual mandate.” The repeal of this provision, which requires most Americans to carry a minimal level of health insurance, which became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those arguments, the Trump Administration argued in support of upholding the lower court decision. On December 18, 2019, that court affirmed the lower court’s ruling that the individual mandate portion of the ACA is unconstitutional and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the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allow some states to negotiate drug prices under Medicaid, and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For example, on December 23, 2019, the Trump Administration published a proposed rule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Medicinal Products in the European Union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Approval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Clinical Trials Directive 2001/20/EC, the Directive 2005/28/EC on Good Clinical Practice, or GCP, and the related national implementing provisions of the individual EU Member States govern the system for the approval of clinical trials in the EU. Under this system, an applicant must obtain prior approval from the competent national authority of the EU Member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2014, the Clinical Trial (Regulation, (EU)) No 536/2014 was adopted. The Clinical Trial Regulation was published on June 16, 2014 but is not expected to apply until 2020. The Clinical Trial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 Regulation becomes applicable. The extent to which on-going clinical trials will be governed by the Clinical Trial Regulation will depend on when the Clinical Trial Regulation becomes applicable and on the duration of the individual clinical trial. If a clinical trial continues for more than three years from the day on which the Clinical Trial Regulation becomes applicable the Clinical Trial Regulation at that time will begin to apply to the clinical trial.</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new Clinical Trial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 Regulation.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Designation in the EU</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or ATMPs,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centralized procedure, the CHMP is also responsible for several post-authorization and maintenance activities, such as the assessment of modifications or extensions to an existing marketing authorization. Under the centralized procedure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safety and efficacy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5" w:lineRule="exact"/>
        <w:rPr>
          <w:sz w:val="20"/>
          <w:szCs w:val="20"/>
          <w:color w:val="auto"/>
        </w:rPr>
      </w:pPr>
    </w:p>
    <w:p>
      <w:pPr>
        <w:ind w:left="500" w:hanging="492"/>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in certain cases be administered only under strict medical supervision, possibly in a hospital and in the case of a radiopharmaceutical, by an authorized person; and</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Data Protection in the EU</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preclinical and clinical trials.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Periods of Authorization and Renewals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additional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obtaining a marketing authorization in the EU,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requests that companies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 month period of qualifying patent protection through extension of the term of the Supplementary Protection Certificate.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Regulation (EC) No. 141/2000, as implemented by Regulation (EC) No. 847/2000 provides that a drug can be designated as an orphan drug by the European Commission if its sponsor can establish that the product is intended for the diagnosis, prevention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after a Marketing Authorization has been Obtained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EU’s pharmacovigilance or safety reporting rules, which can impose post-authorization studies and additional monitoring obligations.</w:t>
      </w:r>
    </w:p>
    <w:p>
      <w:pPr>
        <w:spacing w:after="0" w:line="63" w:lineRule="exact"/>
        <w:rPr>
          <w:rFonts w:ascii="Arial" w:cs="Arial" w:eastAsia="Arial" w:hAnsi="Arial"/>
          <w:sz w:val="18"/>
          <w:szCs w:val="18"/>
          <w:color w:val="auto"/>
        </w:rPr>
      </w:pPr>
    </w:p>
    <w:p>
      <w:pPr>
        <w:jc w:val="both"/>
        <w:ind w:left="500" w:hanging="492"/>
        <w:spacing w:after="0" w:line="276" w:lineRule="auto"/>
        <w:tabs>
          <w:tab w:leader="none" w:pos="4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0" w:lineRule="exact"/>
        <w:rPr>
          <w:rFonts w:ascii="Arial" w:cs="Arial" w:eastAsia="Arial" w:hAnsi="Arial"/>
          <w:sz w:val="17"/>
          <w:szCs w:val="17"/>
          <w:color w:val="auto"/>
        </w:rPr>
      </w:pPr>
    </w:p>
    <w:p>
      <w:pPr>
        <w:jc w:val="both"/>
        <w:ind w:left="500" w:hanging="492"/>
        <w:spacing w:after="0" w:line="264"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Data Protection Regulation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rules on the transfer of personal data to countries outside the EU, including the United States, and permits data protection authorities</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to impose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w:t>
      </w:r>
    </w:p>
    <w:p>
      <w:pPr>
        <w:jc w:val="both"/>
        <w:spacing w:after="0" w:line="308" w:lineRule="auto"/>
        <w:rPr>
          <w:sz w:val="20"/>
          <w:szCs w:val="20"/>
          <w:color w:val="auto"/>
        </w:rPr>
      </w:pPr>
      <w:r>
        <w:rPr>
          <w:rFonts w:ascii="Arial" w:cs="Arial" w:eastAsia="Arial" w:hAnsi="Arial"/>
          <w:sz w:val="17"/>
          <w:szCs w:val="17"/>
          <w:color w:val="auto"/>
        </w:rPr>
        <w:t>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23, 2016, the electorate in the United Kingdom voted in favor of leaving the EU, commonly referred to as Brexit. Following protracted negotiations, the United Kingdom left the EU on January 31, 2020. Under the withdrawal agreement, there is a transitional period until December 31, 2020 (extendable up to two years). Discussions between the United Kingdom and the EU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been reached before the end of the transitional period, there may be significant market and economic disruption. The Prime Minister has also indicated that the United Kingdom will not accept high regulatory alignment with the EU.</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Decisions for Approved Products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there negotiations may continue after reimbursement has been obtained. Reference pricing used by various Member States, and parallel trade (i.e., arbitrage between low-priced and high-priced Member States), can further reduce prices. There can be no assurance that any country with price controls or reimbursement limitations for pharmaceutical products will allow favorable reimbursement and pricing arrangements for any products, if approved in those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Geographical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engaged solely in the discovery and development of medicines in the field of cellular metabolism. Accordingly, we have determined that we operate in one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revenues for the years ended December 31, 2019, 2018, and 2017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and royalty revenues - Celgene</w:t>
            </w:r>
          </w:p>
        </w:tc>
        <w:tc>
          <w:tcPr>
            <w:tcW w:w="178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rPr>
              <w:t>42 %</w:t>
            </w:r>
          </w:p>
        </w:tc>
        <w:tc>
          <w:tcPr>
            <w:tcW w:w="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72 %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Collaboration revenue - CStone</w:t>
            </w:r>
          </w:p>
        </w:tc>
        <w:tc>
          <w:tcPr>
            <w:tcW w:w="1780" w:type="dxa"/>
            <w:vAlign w:val="bottom"/>
          </w:tcPr>
          <w:p>
            <w:pPr>
              <w:jc w:val="right"/>
              <w:ind w:right="1154"/>
              <w:spacing w:after="0"/>
              <w:rPr>
                <w:sz w:val="20"/>
                <w:szCs w:val="20"/>
                <w:color w:val="auto"/>
              </w:rPr>
            </w:pPr>
            <w:r>
              <w:rPr>
                <w:rFonts w:ascii="Arial" w:cs="Arial" w:eastAsia="Arial" w:hAnsi="Arial"/>
                <w:sz w:val="18"/>
                <w:szCs w:val="18"/>
                <w:color w:val="auto"/>
              </w:rPr>
              <w:t>7 %</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13 %</w:t>
            </w: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 net</w:t>
            </w:r>
          </w:p>
        </w:tc>
        <w:tc>
          <w:tcPr>
            <w:tcW w:w="178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rPr>
              <w:t>51 %</w:t>
            </w:r>
          </w:p>
        </w:tc>
        <w:tc>
          <w:tcPr>
            <w:tcW w:w="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2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sales to one specialty distributor, McKesson, and one specialty pharmacy, Biologics, each accounted for more than 10% of our consolidated revenues for the year ended December 31, 2019. No customers accounted for more than 10% of our consolidated revenues for year ended December 31, 2018. Refer to Note 10. </w:t>
      </w:r>
      <w:r>
        <w:rPr>
          <w:rFonts w:ascii="Arial" w:cs="Arial" w:eastAsia="Arial" w:hAnsi="Arial"/>
          <w:sz w:val="18"/>
          <w:szCs w:val="18"/>
          <w:i w:val="1"/>
          <w:iCs w:val="1"/>
          <w:color w:val="auto"/>
        </w:rPr>
        <w:t>Product Revenue</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Collaboration and License Agreements</w:t>
      </w:r>
      <w:r>
        <w:rPr>
          <w:rFonts w:ascii="Arial" w:cs="Arial" w:eastAsia="Arial" w:hAnsi="Arial"/>
          <w:sz w:val="18"/>
          <w:szCs w:val="18"/>
          <w:color w:val="auto"/>
        </w:rPr>
        <w:t xml:space="preserve"> to the consolidated financial statements in this Annual Report on Form 10-K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Scientific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Advisors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assembled a world-class scientific advisory board that includes renowned experts in cancer metabolism, oncology, drug discovery and translational medicine. These advisors work in close collaboration with our scientists to identify new research directions and accelerate our target validation and drug discovery programs.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8220" w:type="dxa"/>
            <w:vAlign w:val="bottom"/>
          </w:tcPr>
          <w:p>
            <w:pPr>
              <w:spacing w:after="0"/>
              <w:rPr>
                <w:sz w:val="17"/>
                <w:szCs w:val="17"/>
                <w:color w:val="auto"/>
              </w:rPr>
            </w:pPr>
          </w:p>
        </w:tc>
      </w:tr>
      <w:tr>
        <w:trPr>
          <w:trHeight w:val="844"/>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8"/>
                <w:szCs w:val="18"/>
                <w:b w:val="1"/>
                <w:bCs w:val="1"/>
                <w:color w:val="auto"/>
              </w:rPr>
              <w:t>Name</w:t>
            </w:r>
          </w:p>
        </w:tc>
        <w:tc>
          <w:tcPr>
            <w:tcW w:w="1840" w:type="dxa"/>
            <w:vAlign w:val="bottom"/>
            <w:gridSpan w:val="2"/>
          </w:tcPr>
          <w:p>
            <w:pPr>
              <w:spacing w:after="0"/>
              <w:rPr>
                <w:sz w:val="24"/>
                <w:szCs w:val="24"/>
                <w:color w:val="auto"/>
              </w:rPr>
            </w:pPr>
          </w:p>
        </w:tc>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Primary affiliation</w:t>
            </w:r>
          </w:p>
        </w:tc>
      </w:tr>
      <w:tr>
        <w:trPr>
          <w:trHeight w:val="27"/>
        </w:trPr>
        <w:tc>
          <w:tcPr>
            <w:tcW w:w="30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r>
      <w:tr>
        <w:trPr>
          <w:trHeight w:val="237"/>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Joan Brugge, Ph.D.</w:t>
            </w:r>
          </w:p>
        </w:tc>
        <w:tc>
          <w:tcPr>
            <w:tcW w:w="8220" w:type="dxa"/>
            <w:vAlign w:val="bottom"/>
          </w:tcPr>
          <w:p>
            <w:pPr>
              <w:ind w:left="20"/>
              <w:spacing w:after="0"/>
              <w:rPr>
                <w:sz w:val="20"/>
                <w:szCs w:val="20"/>
                <w:color w:val="auto"/>
              </w:rPr>
            </w:pPr>
            <w:r>
              <w:rPr>
                <w:rFonts w:ascii="Arial" w:cs="Arial" w:eastAsia="Arial" w:hAnsi="Arial"/>
                <w:sz w:val="18"/>
                <w:szCs w:val="18"/>
                <w:color w:val="auto"/>
              </w:rPr>
              <w:t>Harvard Medical School</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Lewis C. Cantley, Ph.D.</w:t>
            </w:r>
          </w:p>
        </w:tc>
        <w:tc>
          <w:tcPr>
            <w:tcW w:w="8220" w:type="dxa"/>
            <w:vAlign w:val="bottom"/>
          </w:tcPr>
          <w:p>
            <w:pPr>
              <w:ind w:left="20"/>
              <w:spacing w:after="0"/>
              <w:rPr>
                <w:sz w:val="20"/>
                <w:szCs w:val="20"/>
                <w:color w:val="auto"/>
              </w:rPr>
            </w:pPr>
            <w:r>
              <w:rPr>
                <w:rFonts w:ascii="Arial" w:cs="Arial" w:eastAsia="Arial" w:hAnsi="Arial"/>
                <w:sz w:val="18"/>
                <w:szCs w:val="18"/>
                <w:color w:val="auto"/>
              </w:rPr>
              <w:t>The Cancer Center at Weill Cornell Medical College and New York-Presbyterian Hospital</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Ralph Deberardinis, M.D., Ph.D.</w:t>
            </w:r>
          </w:p>
        </w:tc>
        <w:tc>
          <w:tcPr>
            <w:tcW w:w="8220" w:type="dxa"/>
            <w:vAlign w:val="bottom"/>
          </w:tcPr>
          <w:p>
            <w:pPr>
              <w:ind w:left="20"/>
              <w:spacing w:after="0"/>
              <w:rPr>
                <w:sz w:val="20"/>
                <w:szCs w:val="20"/>
                <w:color w:val="auto"/>
              </w:rPr>
            </w:pPr>
            <w:r>
              <w:rPr>
                <w:rFonts w:ascii="Arial" w:cs="Arial" w:eastAsia="Arial" w:hAnsi="Arial"/>
                <w:sz w:val="18"/>
                <w:szCs w:val="18"/>
                <w:color w:val="auto"/>
              </w:rPr>
              <w:t>Children's Medical Center Research Institute at University of Texas Southwestern</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William G. Kaelin, Jr., M.D.</w:t>
            </w:r>
          </w:p>
        </w:tc>
        <w:tc>
          <w:tcPr>
            <w:tcW w:w="8220" w:type="dxa"/>
            <w:vAlign w:val="bottom"/>
          </w:tcPr>
          <w:p>
            <w:pPr>
              <w:ind w:left="20"/>
              <w:spacing w:after="0"/>
              <w:rPr>
                <w:sz w:val="20"/>
                <w:szCs w:val="20"/>
                <w:color w:val="auto"/>
              </w:rPr>
            </w:pPr>
            <w:r>
              <w:rPr>
                <w:rFonts w:ascii="Arial" w:cs="Arial" w:eastAsia="Arial" w:hAnsi="Arial"/>
                <w:sz w:val="18"/>
                <w:szCs w:val="18"/>
                <w:color w:val="auto"/>
              </w:rPr>
              <w:t>Dana-Farber Cancer Institute and Harvard Medical School</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Tak W. Mak, Ph.D.</w:t>
            </w:r>
          </w:p>
        </w:tc>
        <w:tc>
          <w:tcPr>
            <w:tcW w:w="8220" w:type="dxa"/>
            <w:vAlign w:val="bottom"/>
          </w:tcPr>
          <w:p>
            <w:pPr>
              <w:ind w:left="20"/>
              <w:spacing w:after="0"/>
              <w:rPr>
                <w:sz w:val="20"/>
                <w:szCs w:val="20"/>
                <w:color w:val="auto"/>
              </w:rPr>
            </w:pPr>
            <w:r>
              <w:rPr>
                <w:rFonts w:ascii="Arial" w:cs="Arial" w:eastAsia="Arial" w:hAnsi="Arial"/>
                <w:sz w:val="18"/>
                <w:szCs w:val="18"/>
                <w:color w:val="auto"/>
              </w:rPr>
              <w:t>University of Toronto and the Campbell Family Institute for Breast Cancer Research</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Pier Paolo Pandolfi, M.D., Ph.D.</w:t>
            </w:r>
          </w:p>
        </w:tc>
        <w:tc>
          <w:tcPr>
            <w:tcW w:w="8220" w:type="dxa"/>
            <w:vAlign w:val="bottom"/>
          </w:tcPr>
          <w:p>
            <w:pPr>
              <w:ind w:left="20"/>
              <w:spacing w:after="0"/>
              <w:rPr>
                <w:sz w:val="20"/>
                <w:szCs w:val="20"/>
                <w:color w:val="auto"/>
              </w:rPr>
            </w:pPr>
            <w:r>
              <w:rPr>
                <w:rFonts w:ascii="Arial" w:cs="Arial" w:eastAsia="Arial" w:hAnsi="Arial"/>
                <w:sz w:val="18"/>
                <w:szCs w:val="18"/>
                <w:color w:val="auto"/>
              </w:rPr>
              <w:t>Beth Israel Deaconess Medical Center</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Charles Sawyers, M.D.</w:t>
            </w:r>
          </w:p>
        </w:tc>
        <w:tc>
          <w:tcPr>
            <w:tcW w:w="8220" w:type="dxa"/>
            <w:vAlign w:val="bottom"/>
          </w:tcPr>
          <w:p>
            <w:pPr>
              <w:ind w:left="20"/>
              <w:spacing w:after="0"/>
              <w:rPr>
                <w:sz w:val="20"/>
                <w:szCs w:val="20"/>
                <w:color w:val="auto"/>
              </w:rPr>
            </w:pPr>
            <w:r>
              <w:rPr>
                <w:rFonts w:ascii="Arial" w:cs="Arial" w:eastAsia="Arial" w:hAnsi="Arial"/>
                <w:sz w:val="18"/>
                <w:szCs w:val="18"/>
                <w:color w:val="auto"/>
              </w:rPr>
              <w:t>Memorial Sloan-Kettering Cancer Center</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Shin-San Michael Su, Ph.D.</w:t>
            </w:r>
          </w:p>
        </w:tc>
        <w:tc>
          <w:tcPr>
            <w:tcW w:w="8220" w:type="dxa"/>
            <w:vAlign w:val="bottom"/>
          </w:tcPr>
          <w:p>
            <w:pPr>
              <w:ind w:left="20"/>
              <w:spacing w:after="0"/>
              <w:rPr>
                <w:sz w:val="20"/>
                <w:szCs w:val="20"/>
                <w:color w:val="auto"/>
              </w:rPr>
            </w:pPr>
            <w:r>
              <w:rPr>
                <w:rFonts w:ascii="Arial" w:cs="Arial" w:eastAsia="Arial" w:hAnsi="Arial"/>
                <w:sz w:val="18"/>
                <w:szCs w:val="18"/>
                <w:color w:val="auto"/>
              </w:rPr>
              <w:t>Decibel Therapeutics</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Marc Tessier-Lavigne, Ph.D.</w:t>
            </w:r>
          </w:p>
        </w:tc>
        <w:tc>
          <w:tcPr>
            <w:tcW w:w="8220" w:type="dxa"/>
            <w:vAlign w:val="bottom"/>
          </w:tcPr>
          <w:p>
            <w:pPr>
              <w:ind w:left="20"/>
              <w:spacing w:after="0"/>
              <w:rPr>
                <w:sz w:val="20"/>
                <w:szCs w:val="20"/>
                <w:color w:val="auto"/>
              </w:rPr>
            </w:pPr>
            <w:r>
              <w:rPr>
                <w:rFonts w:ascii="Arial" w:cs="Arial" w:eastAsia="Arial" w:hAnsi="Arial"/>
                <w:sz w:val="18"/>
                <w:szCs w:val="18"/>
                <w:color w:val="auto"/>
              </w:rPr>
              <w:t>Stanford University</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Craig B. Thompson, M.D.</w:t>
            </w:r>
          </w:p>
        </w:tc>
        <w:tc>
          <w:tcPr>
            <w:tcW w:w="8220" w:type="dxa"/>
            <w:vAlign w:val="bottom"/>
          </w:tcPr>
          <w:p>
            <w:pPr>
              <w:ind w:left="20"/>
              <w:spacing w:after="0"/>
              <w:rPr>
                <w:sz w:val="20"/>
                <w:szCs w:val="20"/>
                <w:color w:val="auto"/>
              </w:rPr>
            </w:pPr>
            <w:r>
              <w:rPr>
                <w:rFonts w:ascii="Arial" w:cs="Arial" w:eastAsia="Arial" w:hAnsi="Arial"/>
                <w:sz w:val="18"/>
                <w:szCs w:val="18"/>
                <w:color w:val="auto"/>
              </w:rPr>
              <w:t>Memorial Sloan-Kettering Cancer Center</w:t>
            </w:r>
          </w:p>
        </w:tc>
      </w:tr>
      <w:tr>
        <w:trPr>
          <w:trHeight w:val="270"/>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Matthew Vander Heiden, M.D., Ph.D.</w:t>
            </w:r>
          </w:p>
        </w:tc>
        <w:tc>
          <w:tcPr>
            <w:tcW w:w="8220" w:type="dxa"/>
            <w:vAlign w:val="bottom"/>
          </w:tcPr>
          <w:p>
            <w:pPr>
              <w:ind w:left="20"/>
              <w:spacing w:after="0"/>
              <w:rPr>
                <w:sz w:val="20"/>
                <w:szCs w:val="20"/>
                <w:color w:val="auto"/>
              </w:rPr>
            </w:pPr>
            <w:r>
              <w:rPr>
                <w:rFonts w:ascii="Arial" w:cs="Arial" w:eastAsia="Arial" w:hAnsi="Arial"/>
                <w:sz w:val="18"/>
                <w:szCs w:val="18"/>
                <w:color w:val="auto"/>
              </w:rPr>
              <w:t>Koch Institute for Integrative Cancer Research at Massachusetts Institute of Technology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536 full-time employees, including 158 employees with M.D. or Ph.D. degrees. Of these full-time employees, 368 employees are engaged in research and development activities. None of our employees are represented by a labor union or covered by a collective bargaining agreement. We consider our relationship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incorporated under the laws of the State of Delaware in August 2007. Our executive offices are located at 88 Sidney Street, Cambridge, Massachusetts 02139, and our telephone number is (617) 649-8600. Our website address is www.agios.com. References to our website are inactive textual references only and the content of our website should not be deemed incorporated by reference into this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any amendments to these reports filed or furnished pursuant to Section 13(a) or 15(d) of the Securities Exchange Act of 1934, as amended, are available free of charge on our website located at www.agios.com as soon as reasonably practicable after they are filed with or furnished to the Securities and Exchange Commission, or SEC. These reports are also available at the SEC’s website at www.sec.gov.</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copy of our Corporate Governance Guidelines, Code of Business Conduct and Ethics and the charters of the Audit Committee, Compensation Committee, and Nominating and Corporate Governance Committee are posted on our website, www.agios.com, under the heading “Corporate Governance” and are available in print to any person who requests copies by contacting us by calling (617) 649-8600 or by writing to Agios Pharmaceuticals, Inc., 88 Sidney Street, Cambridge, Massachusetts 02139.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inception. We expect to incur losses for the foreseeable future and may never achieve or maintain profitability.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Since inception, we have incurred significant operating losses. Our net losses were $411.5 million, $346.0 million and $314.7 million for the years ended December 31, 2019, 2018 and 2017, respectively. As of December 31, 2019, we had an accumulated deficit of $1,516.1 million. To date, we have generated only modest revenue from sales of TIBSOVO® and royalties on sales of IDHIFA®. The FDA approved IDHIFA® for the treatment of adult patients with R/R AML and an IDH2 mutation, and approved TIBSOVO® for the treatment of adult patients with R/R AML with a susceptible IDH1 mutation and the treatment of adult patients with newly diagnosed AML with a susceptible IDH1 mutation who are at least 75 years old or who have comorbidities that preclude use of intensive induction chemotherapy. We have not obtained marketing approval for any of our other product candidates, which are in preclinical or clinical development stages. We have financed our operations primarily through private placements of our preferred stock, our initial public offering and the concurrent private placement, our follow-on public offerings and our collaboration agreements with Celgene focused on cancer metabolism and metabolic immuno-oncology. We have devoted substantially all of our efforts to research and development. We expect to continue to incur significant expenses and net losses until such time we are able to report profitable results. The net losses we incur may fluctuate significantly from quarter to quarter. We anticipate that we will incur significant expenses if and as we:</w:t>
      </w:r>
    </w:p>
    <w:p>
      <w:pPr>
        <w:spacing w:after="0" w:line="16" w:lineRule="exact"/>
        <w:rPr>
          <w:sz w:val="20"/>
          <w:szCs w:val="20"/>
          <w:color w:val="auto"/>
        </w:rPr>
      </w:pPr>
    </w:p>
    <w:p>
      <w:pPr>
        <w:ind w:left="500" w:hanging="492"/>
        <w:spacing w:after="0" w:line="27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continue clinical trials for our products and product candidates, including: ivosidenib, enasidenib, vorasidenib, mitapivat, AG-270 and AG-636;</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a sales, marketing and distribution infrastructure to commercialize any medicines for which we have or may obtain marketing approval;</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manufacture of larger quantities of product candidates for clinical development and, potentially, commercialization;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additional personnel to support our product development and planned future commercialization efforts and our operations;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medicines and technologies.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one or more medicines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medicines for which we may obtain marketing approval and satisfying any post-marketing requirements. Notwithstanding the extent to which we may succeed in these activities,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stockholders to lose all or part of their investment.</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product development programs or commercialization efforts.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incur significant expenses as we continue to advance our ongoing activities, particularly as we continue the research and development of, initiate and continue clinical trials of, seek marketing approvals for, and potentially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commercialize our product candidates, to the extent that such expenses are not the responsibility of Celgene or other collaborators. For example, we have incurred and expect to continue to incur expenses related to the commercialization of TIBSOVO®, and expect to incur expenses in connection with the buildout of a limited commercial infrastructure in the EU.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our existing cash, cash equivalents and marketable securities as of December 31, 2019, together with anticipated product and royalty revenue, anticipated interest income and anticipated expense reimbursements under our collaboration agreements, but excluding any additional collaboration-related payments, will enable us to fund our operating expenses and capital expenditure requirements through at least the end of 2021. Our estimate as to how long we expect our existing cash, cash equivalents, and marketable securities to be available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capital requirements will depend on many factors, including:</w:t>
      </w:r>
    </w:p>
    <w:p>
      <w:pPr>
        <w:spacing w:after="0" w:line="70"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product candidates;</w:t>
      </w:r>
    </w:p>
    <w:p>
      <w:pPr>
        <w:spacing w:after="0" w:line="74" w:lineRule="exact"/>
        <w:rPr>
          <w:rFonts w:ascii="Arial" w:cs="Arial" w:eastAsia="Arial" w:hAnsi="Arial"/>
          <w:sz w:val="17"/>
          <w:szCs w:val="17"/>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and developments regarding, our collaborations;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commercialization expenses relating to approved medicines such as TIBSOVO® and IDHIFA®;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levels of product revenue from sales of TIBSOVO® and royalties on sales IDHIFA®;</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associated with preparation for the potential commercial launch of one or more of our product candidates, including the build-out of a limited commercial infrastructure in the EU;</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additional marketing approvals and achieve product sales. In addition, TIBSOVO®, IDHIFA®, or other product candidates, if approved, may not achieve commercial success. Even if we succeed in developing and commercializing one or more of our product candidates, we may never achieve sufficient sales revenue to achieve or maintain profitability. Accordingly, we will need to continue to rely on additional financing to achieve our business objectives. Adequate additional financing may not be available to us on acceptable terms, or at all.</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We do not have any committed external source of funds, other than our collaborations, which are limited in scope and duration. To the extent that we raise additional capital through the sale of equity or convertible debt securities, ownership interests will be diluted, and the terms of these securities may include liquidation or other preferences that adversely affect the rights of our common stockholders. Debt financing, if available, may require us to enter into agreements that include covenants limiting or restricting our ability to take specific actions, such as incurring additional debt, making capital expenditures or declaring dividends.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incorporated in the second half of 2007 and commenced operations in late 2008. Our operations to date have been primarily limited to organizing and staffing our company, business planning, raising capital, acquiring and developing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technology, identifying potential product candidates, undertaking preclinical and clinical studies of our product candidates, and establishing a commercial infrastructure. All of our product candidates are still in preclinical and clinical development, with the exception of TIBSOVO® and IDHIFA®. Typically, it takes about 10 to 15 years to develop one new medicine from the time it is discovered to when it is available for treating patients, assuming that it successfully completes all stages of research and development and achieves marketing approval, all of which is highly uncertain. Consequently, any predictions you make about our future success or viability may not be as accurate as they could be if we had a longer operating history.</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encounter unforeseen expenses, difficulties, complications, delays and other known and unknown factors that may adversely affect our ability to successfully commercialize our products and product candidates. We are in the early stages of transitioning from a company with solely a research focus to a company capable of supporting commercial activities and we have not yet demonstrated our ability to conduct large-scale sales and marketing activities necessary for successful commercialization. We may not be successful in such a transition.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our commercialization of TIBSOVO®. If we do not successfully commercialize TIBSOVO® for the treatment of adult patients with R/R AML with a susceptible IDH1 mutation, our future prospects may be substantially harmed.</w:t>
      </w:r>
    </w:p>
    <w:p>
      <w:pPr>
        <w:spacing w:after="0" w:line="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July 2018, the FDA approved TIBSOVO® for the treatment of adult patients with R/R AML with a susceptible IDH1 mutation, and in May 2019, the FDA approved TIBSOVO® for the treatment of adult patients with newly diagnosed AML with a susceptible IDH1 mutation who are at least 75 years old or who have comorbidities that preclude use of intensive induction chemotherapy. We are still evaluating ivosidenib in other clinical trials for the treatment of IDH1 mutant-positive cancers. Our ability to generate product revenue from TIBSOVO® will depend heavily on our successful development and commercialization of the product.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and commercialization of TIBSOVO® (ivosidenib) could be unsuccessful if:</w:t>
      </w:r>
    </w:p>
    <w:p>
      <w:pPr>
        <w:spacing w:after="0" w:line="117" w:lineRule="exact"/>
        <w:rPr>
          <w:sz w:val="20"/>
          <w:szCs w:val="20"/>
          <w:color w:val="auto"/>
        </w:rPr>
      </w:pPr>
    </w:p>
    <w:p>
      <w:pPr>
        <w:ind w:left="500" w:right="20" w:hanging="492"/>
        <w:spacing w:after="0" w:line="27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TIBSOVO® becomes no longer accepted as safe, efficacious, and cost-effective for the treatment of adult patients with R/R AML with a susceptible IDH1 mutation in the medical community and by third-party payors;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maintain the necessary financial resources and expertise to manufacture, market and sell TIBSOVO®;</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continue to develop and implement effective marketing, sales and distribution strategies and operations for the development and commercialization of TIBSOVO®;</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continue to develop, validate and maintain a commercially viable manufacturing process for TIBSOVO® that is compliant with current good manufacturing practices;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successfully obtain third party reimbursement and generate commercial demand that results in sales of TIBSOVO®;</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encounter any third party patent interference, derivation, inter partes review, post-grant review, reexamination or patent infringement claims with respect to ivosidenib;</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fail to comply with regulatory and legal requirements applicable to the sale of TIBSOVO®;</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drug products are approved for the same indications as TIBSOVO®;</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significant safety risks are identified;</w:t>
      </w:r>
    </w:p>
    <w:p>
      <w:pPr>
        <w:spacing w:after="0" w:line="117" w:lineRule="exact"/>
        <w:rPr>
          <w:rFonts w:ascii="Arial" w:cs="Arial" w:eastAsia="Arial" w:hAnsi="Arial"/>
          <w:sz w:val="18"/>
          <w:szCs w:val="18"/>
          <w:color w:val="auto"/>
        </w:rPr>
      </w:pPr>
    </w:p>
    <w:p>
      <w:pPr>
        <w:jc w:val="both"/>
        <w:ind w:left="500" w:hanging="492"/>
        <w:spacing w:after="0" w:line="259"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ivosidenib does not demonstrate acceptable safety and efficacy in current or future clinical trials, or otherwise does not meet applicable regulatory standards for approval in indications other than for the treatment of adult patients with R/R AML with a susceptible IDH1 mutation and the treatment of adult patients with newly diagnosed AML with a susceptible IDH1 mutation who are at least 75 years old or who have comorbidities that preclude use of intensive induction chemotherapy.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significant delays or an inability to successfully develop and commercialize TIBSOVO® (ivosidenib), our business would be materially harmed.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element of our strategy is to identify and test compounds that target cellular metabolism and adjacent areas of biology in a variety of different types of hematologic malignancies, solid tumors and RGDs, as well as in immune cells for the treatment of cancer. A significant portion of the research that we are conducting involves new compounds and drug discovery methods, including our proprietary technology. The drug discovery that we are conducting using our proprietary technology may not be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successful in identifying compounds that are useful in treating cancer or RGDs. In addition, our efforts in the emerging field of metabolic immuno-oncology may not be as successful as our efforts to date in cancer metabolism and RGDs. Furthermore, our research programs may initially show promise in identifying potential product candidates, yet fail to yield product candidates for clinical development for a number of reasons, including:</w:t>
      </w:r>
    </w:p>
    <w:p>
      <w:pPr>
        <w:spacing w:after="0" w:line="57"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biomarkers or potential product candidates; or</w:t>
      </w:r>
    </w:p>
    <w:p>
      <w:pPr>
        <w:spacing w:after="0" w:line="63"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identify suitable compounds for preclinical and clinical development, we will not be able to generate incremental product revenue in future periods, which likely would result in significant harm to our financial position and adversely impact our stock price.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know whether we will be able to develop any medicines of commercial value, based on our approach to the discovery and development of product candidates that target cellular metabolism.</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scientific approach focuses on using our proprietary technology to identify key metabolic enzymes in cancer, RGDs, or other diseased cells in the laboratory and then using these key enzymes to screen for and identify product candidates targeting cellular metabolism and adjacent areas of biology. We are also focused on metabolic immuno-oncology, an emerging field of cancer research focused on altering the metabolic state of immune cells to enhance the body’s immune response to cancer.</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focus on using our proprietary technology to screen for and identify product candidates targeting cellular metabolism and adjacent areas of biology may not result in the discovery and development of commercially viable medicines to treat cancer or RGDs. Any medicines that we develop may not effectively correct metabolic pathways or alter the metabolic state of immune cells. If we are able to develop a product candidate that targets cellular metabolism in preclinical studies, we may not succeed in demonstrating safety and efficacy of the product candidate in human clinical trials. In addition, even if we obtain marketing approval for one of our product candidates, we can provide no assurance that commercialization of such product candidate will be successful.</w:t>
      </w:r>
    </w:p>
    <w:p>
      <w:pPr>
        <w:spacing w:after="0" w:line="5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depend heavily on the success of our clinical product candidates. Clinical trials of our product candidates may not be successful. If we or our collaborators are unable to commercialize our product candidates or experience significant delays in doing so, our business will be materially harmed.</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than TIBSOVO®, IDHIFA®, vorasidenib, mitapivat, AG-270 and AG-636, we have not commenced clinical trials for any of our other product candidates. Our ability to generate product revenue will depend heavily on the successful development and eventual commercialization of our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ivosidenib and our other product candidates will depend on many factors, including the following:</w:t>
      </w:r>
    </w:p>
    <w:p>
      <w:pPr>
        <w:spacing w:after="0" w:line="117"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the EMA or any comparable foreign regulatory authority for marketing approval;</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both clinical and commercial manufacturing capabilities or making arrangements with third-party manufacturers;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any collaborators;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 for our medicines;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medicines, if and when approved, by patients, the medical community and third-party payors;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acceptable safety profile for the medicines following approval;</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collaborator. If we or any collaborators do not achieve one or more of these factors in a timely manner or at all, we or such collaborators could experience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significant delays or an inability to successfully commercialize our most advanced product candidates, which would materially harm our business.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clinical trials of products or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such as the EMA, impose similar requirements. Before obtaining marketing approval from regulatory authorities for the sale of our product candidates, we must complete preclinical development and then conduct extensive clinical trials to demonstrate the safety and efficacy of our product candidates in humans. In June 2018 Celgene submitted an MAA to the EMA for IDHIFA® for IDH2 mutant-positive AML, which it subsequently withdrew in December 2019. In December 2018, we submitted an MAA to the EMA for TIBSOVO® for the treatment of adult patients with IDH1 mutant-positive R/R AML and we plan to submit an sNDA for TIBSOVO® for previously treated IDH1 mutant-positive cholangiocarcinoma to the FDA by the end of 2020. However, we can provide no assurance that we will successfully submit such sNDA, or any NDA for any of our other product candidates, or that any MAA, NDA or sNDA submitted by us or Celgene will receive regulatory approval on the timeframe we expect, or at all.</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For instance, in December 2016, we withdrew our IND for AG-519, our second PKR activator, following verbal notification of a clinical hold from the FDA relating to a previously disclosed case of drug-induced cholestatic hepatitis which occurred in our phase 1 clinical trial of AG-519 in healthy volunteers. Although these decisions and this hepatic adverse event finding do not affect our ongoing clinical trials for mitapivat, our first PKR activator, we cannot provide any assurances that there will not be similar or other treatment-related severe adverse events in our other clinical trials of mitapivat, that our other trials will not be placed on clinical hold in the future, or that patient recruitment for our other trials will not be adversely impacted.</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well-tolerated when that is not in fact the case.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any collaborators, and impair our ability to generate revenue from product sales, regulatory and commercialization milestones and royalties. Moreover, if we or our collaborators are required to conduct additional clinical trials or other testing of our product candidates beyond those that we currently contemplate, if we or our collaborators are unable to successfully complete clinical trials of our product candidates or other testing, if the results of these trials or tests are not positive or are only modestly positive or if there are safety concerns, we or our collaborators may:</w:t>
      </w:r>
    </w:p>
    <w:p>
      <w:pPr>
        <w:spacing w:after="0" w:line="80"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medicine removed from the market after obtaining marketing approval.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or any collaborators,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500" w:right="2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our collaborators or our investigators to commence a clinical trial or conduct a clinical trial at a prospective trial site;</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may have delays in reaching or fail to reach agreement on acceptable clinical trial contracts or clinical trial protocols with prospective trial sites;</w:t>
      </w:r>
    </w:p>
    <w:p>
      <w:pPr>
        <w:spacing w:after="0" w:line="8" w:lineRule="exact"/>
        <w:rPr>
          <w:rFonts w:ascii="Arial" w:cs="Arial" w:eastAsia="Arial" w:hAnsi="Arial"/>
          <w:sz w:val="18"/>
          <w:szCs w:val="18"/>
          <w:color w:val="auto"/>
        </w:rPr>
      </w:pPr>
    </w:p>
    <w:p>
      <w:pPr>
        <w:ind w:left="500" w:hanging="492"/>
        <w:spacing w:after="0" w:line="298" w:lineRule="auto"/>
        <w:tabs>
          <w:tab w:leader="none" w:pos="4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or our collaborators may decide, or regulators may require us, to conduct additional clinical trials, including testing in more subjects, or abandon product development programs;</w:t>
      </w:r>
    </w:p>
    <w:p>
      <w:pPr>
        <w:jc w:val="both"/>
        <w:ind w:left="500" w:hanging="492"/>
        <w:spacing w:after="0" w:line="264"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which may be particularly challenging for some of the orphan diseases we target in our RGD programs, may be slower than we anticipate; or participants may drop out of these clinical trials at a higher rate than we anticipate;</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contractors used by us or our collaborators may fail to comply with regulatory requirements or meet their contractual obligations in a timely manner, or at all;</w:t>
      </w:r>
    </w:p>
    <w:p>
      <w:pPr>
        <w:spacing w:after="0" w:line="8"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might have to suspend or terminate clinical trials of our product candidates for various reasons, including a finding that the participants are being exposed to unacceptable health risks;</w:t>
      </w:r>
    </w:p>
    <w:p>
      <w:pPr>
        <w:spacing w:after="0" w:line="8"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institutional review boards, or the data safety monitoring board for such trials may require that we, our collaborators or our investigators suspend or terminate clinical research for various reasons, including noncompliance with regulatory requirements or a finding that the participants are being exposed to unacceptable health risks;</w:t>
      </w:r>
    </w:p>
    <w:p>
      <w:pPr>
        <w:spacing w:after="0" w:line="19" w:lineRule="exact"/>
        <w:rPr>
          <w:rFonts w:ascii="Arial" w:cs="Arial" w:eastAsia="Arial" w:hAnsi="Arial"/>
          <w:sz w:val="18"/>
          <w:szCs w:val="18"/>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anticipated;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our collaborators or our investigators, regulators or institutional review boards to suspend or terminate the trials.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development costs for us, or any collaborators, will increase if we, or they, experience delays in testing or pursuing marketing approvals and we, or they,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any collaborators, may have the exclusive right to commercialize our product candidates or allow our competitors, or the competitors of any collaborators, to bring products to market before we, or any collaborators, do and impair our ability, or the ability of any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or our collaborators may not be able to initiate or continue clinical trials for our product candidates if we or they are unable to locate and enroll a sufficient number of eligible patients to participate in these trials as required by the FDA or analogous regulatory authorities outside the United States. Enrollment may be particularly challenging for some of the orphan diseases we target in our RGD programs. In addition, some of our competitors may have ongoing clinical trials for product candidates that would treat the same indications as our product candidates, and patients who would otherwise be eligible for our clinical trials may instead enroll in clinical trials of our competitors’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Utilizing our precision medicine approach, we generally focus our development activities on genetically or biomarker defined patients most likely to respond to our therapies. As a result, the potential patient populations for our clinical trials are narrowed, and we may experience difficulties in identifying and enrolling a sufficient number of patients in our clinical trials. In particular, the successful completion of our clinical development program for mitapivat for the treatment of PK deficiency is dependent upon our ability to enroll a sufficient number of patients with PK deficiency. PK deficiency is a rare disease with a small patient population. Further, there are only a limited number of specialist physicians that regularly treat patients with PK deficiency and major clinical centers that support PK deficiency are concentrated in a few geographic regions. The small population of patients, the nature of the disease and limited trial sites may make it difficult for us to enroll enough patients to complete our clinical trials for mitapivat for PK deficiency in a timely and cost-effective manner.</w:t>
      </w:r>
    </w:p>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other companies are conducting clinical trials, or may in the future conduct clinical trials, which may have similar eligibility criteria as our current or future clinical trials. For example, Daiichi Sankyo Company, Ltd., with DS-1001b, Bayer AG, or Bayer, with BAY1436032, and Forma Therapeutics Holdings, LLC, or Forma, with FT-2102, are conducting clinical trials that are targeted specifically towards patients with IDH1 mutant positive-cancers and/or include IDH mutant positive populations; companies such as ASLAN Pharmaceuticals Limited, or ASLAN, Bayer, Clear Creek Bio and PTC Therapeutics, Inc., or PTC, are clinically evaluating DHODH inhibitors for the treatment of hematologic malignancies; Rocket Pharma LTD is in the preclinical stages of development for a gene therapy targeting PK deficiency; Forma is developing a PKR activator for the treatment of hemolytic anemias; and IDEAYA Biosciences, Inc., or IDEAYA, is developing a MAT2A inhibitor for the treatment of MTAP-deleted cancers. As these companies and others initiate and conduct clinical trials, they may compete for eligible patients with our clinical trials of our product candidates. Competition for these patients may make it particularly difficult for us to enroll enough patients to complete our clinical trials for our product candidates in a timely and cost-effective manner.</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we rely on CROs, and clinical trial sites to ensure the proper and timely conduct of our clinical trials and while we have agreements governing their committed activities, we have limited influence over their actual performance. Our or our collaborators’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side effects or unexpected characteristics are identified during the development of our product candidates, we may need to abandon or limit our development of some of our product candidates.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the exception of TIBSOVO® and IDHIFA®, all of our most advanced product candidates are still in clinical stage development and their risk of failure is high. It is impossible to predict when or if any of our product candidates will prove effective or safe in humans or will receive marketing approval. Adverse events or undesirable side effects caused by, or other unexpected properties of, our product candidates could cause us or any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If adverse effects were to arise in patients being treated with any of our product candidates, it could require us to halt, delay or interrupt clinical trials of such product candidate or adversely affect our ability to obtain requisite approvals to advance the development and commercialization of such product candidate. If any of our product candidates is associated with adverse events or undesirable side effects or has properties that are unexpected, we, or any collaborators, may need to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earlier stage testing for treating cancer, RGDs or other diseases have later been found to cause side effects that prevented further development of the compound. For instance, in December 2016, we withdrew our IND for AG-519, our second PKR activator, following verbal notification of a clinical hold from the FDA relating to a previously disclosed case of drug-induced cholestatic hepatitis which occurred in our phase 1 clinical trial of AG-519 in healthy volunteers. Although these decisions and this hepatic adverse event finding do not affect our ongoing clinical trials for mitapivat, we cannot provide any assurances that there will not be similar or other treatment-related severe adverse events in our other clinical trials for mitapivat, that our other trials will not be placed on clinical hold in the future, or that patient recruitment for our other trials will not be adversely impacted.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outcome of preclinical studies and early clinical trials may not be predictive of the success of later clinical trials, and interim results of clinical trials do not necessarily predict success in future clinical trials. Many companies in the pharmaceutical and biotechnology industries have suffered significant setbacks in late-stage clinical trials after achieving positive results in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earlier development, and we could face similar setbacks. The design of a clinical trial can determine whether its results will support approval of a product and flaws in the design of a clinical trial may not become apparent until the clinical trial is well advanced. We have limited experience in designing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diagnostics for our product candidates, or experience significant delays in doing so, we may not realize the full commercial potential of our therapeutics.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will depend, in part, on our ability to develop companion diagnostics, which are assays or tests to identify an appropriate patient population for these drug candidates. There has been limited success to date industry-wide in developing these types of companion diagnostics. To be successful, we need to address a number of scientific, technical and logistical challenges. We have little experience in the development of diagnostics and may not be successful in developing appropriate diagnostics to pair with any of our therapeutic product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diagnostics, we rely and expect to continue to rely in part or in whole on third parties for their design and manufacture. We also depend on Celgene and Abbott Laboratories for the development of the FDA approved companion diagnostics for IDHIFA® and TIBSOVO®, respectively, and may in the future depend on Celgene or other third parties for the development of other companion diagnostics for our cancer therapeutic product candidates. If any parties, including without limitation Celgene or us, or any third parties engaged by Celgene or us are unable to successfully develop companion diagnostics for our therapeutic product candidates, or experience delays in doing so:</w:t>
      </w:r>
    </w:p>
    <w:p>
      <w:pPr>
        <w:spacing w:after="0" w:line="65" w:lineRule="exact"/>
        <w:rPr>
          <w:sz w:val="20"/>
          <w:szCs w:val="20"/>
          <w:color w:val="auto"/>
        </w:rPr>
      </w:pPr>
    </w:p>
    <w:p>
      <w:pPr>
        <w:ind w:left="500" w:hanging="49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of our therapeutic product candidates may be adversely affected if we are unable to appropriately select patients for enrollment in our clinical trials;</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therapeutic product candidates may not receive marketing approval if safe and effective use of a therapeutic product candidate depends on an in vitro diagnostic; and</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therapeutics that receive marketing approval if, among other reasons, we are unable to appropriately select patients who are likely to benefit from therapy with our medicines.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any of these events, our business would be harmed, possibly materially.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or may be delayed in obtaining, marketing approval for our product candidates.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possible that the FDA or EMA may refuse to accept for substantive review any NDA, sNDA or MAA that we and/or Celgene submit for our product candidates, or may conclude after review of our data that our application is insufficient to obtain marketing approval of our product candidates. If the FDA or EMA does not accept or approve our applications for any of our product candidates, it may require that we conduct additional clinical trials, preclinical studies or manufacturing validation studies and submit that data before it will reconsider our applications. Depending on the extent of these or any other FDA-or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EMA-required trials or studies, approval of any applications that we submit may be delayed by several years, or may require us to expend more resources than we have available. It is also possible that additional trials or studies, if performed and completed, may not be considered sufficient by the FDA or EMA to approve our applications. For example, Celgene withdrew its MAA with the EMA for IDHIFA® for IDH2 mutant-positive AML in December 2019. Any delay in obtaining, or an inability to obtain, marketing approvals would prevent us or Celgene from commercializing our product candidates, generating revenue and achieving and sustaining profitability. If any of these outcomes occur, we may be forced to abandon our development efforts for our product candidates, which could significantly harm our business.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or others may later discover that the product is less effective than previously believed or causes undesirable side effects that were not previously identified, which could compromise our ability, or that of any collaborators, to market the product.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sets of patients who have agreed to enter into clinical trials. Consequently, it is possible that our clinical trials, or those of any collaborators,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80"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any collaborators, may be required to recall the product, change the way the product is administered or conduct additional clinical trials;</w:t>
      </w:r>
    </w:p>
    <w:p>
      <w:pPr>
        <w:spacing w:after="0" w:line="74" w:lineRule="exact"/>
        <w:rPr>
          <w:rFonts w:ascii="Arial" w:cs="Arial" w:eastAsia="Arial" w:hAnsi="Arial"/>
          <w:sz w:val="17"/>
          <w:szCs w:val="17"/>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including, for example, the black box warning for differentiation syndrome on the labels for IDHIFA® and TIBSOVO®;</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collaborators, may be required to create a Medication Guide outlining the risks of the previously unidentified side effects for distribution to patients;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any collaborators, could be sued and held liable for harm caused to patients;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TIBSOVO® and IDHIFA®, or any of our product candidates that receive marketing approval in the future, may nonetheless fail to gain sufficient market acceptance by physicians, patients, healthcare payors and others in the medical community. For example, current cancer treatments like chemotherapy and radiation therapy are well established in the medical community, and doctors may continue to rely on these treatments. If our product candidates do not achieve an adequate level of acceptance, we may not generate significant product revenue and we may not become profitable. The degree of market acceptance of our product candidates, if approved for commercial sale, will depend on a number of factors, including:</w:t>
      </w:r>
    </w:p>
    <w:p>
      <w:pPr>
        <w:spacing w:after="0" w:line="64"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ensuring uninterrupted product supply;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and maintain sales and marketing capabilities or enter into agreements with third parties to sell and market our product candidates, we may not be successful in commercializing our product candidates if and when they are approved.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limited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other third parties. Although we have established sales and marketing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capabilities to support our co-promotion efforts for IDHIFA® and our sales of TIBSOVO®, we will need to further build our sales and marketing infrastructure to sell, or participate in sales activities with our collaborators for, our other product candidates if and when they are approved, including, for example, to support the potential approval of one or more product candidates in the EU.</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117"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medicines;</w:t>
      </w:r>
    </w:p>
    <w:p>
      <w:pPr>
        <w:spacing w:after="0" w:line="74" w:lineRule="exact"/>
        <w:rPr>
          <w:rFonts w:ascii="Arial" w:cs="Arial" w:eastAsia="Arial" w:hAnsi="Arial"/>
          <w:sz w:val="17"/>
          <w:szCs w:val="17"/>
          <w:color w:val="auto"/>
        </w:rPr>
      </w:pPr>
    </w:p>
    <w:p>
      <w:pPr>
        <w:ind w:left="500" w:hanging="492"/>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of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products and product candidates, and we and our collaborators will face competition with respect to any product candidates that we or they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such as AML and high risk myelodysplasia. For example, Jazz Pharmaceuticals plc, Abbvie Inc. (in collaboration with Roche Holdings Inc.), Novartis International AG, Pfizer, Inc. and Astellas Pharma Inc. are each marketing therapies to treat AML, Acceleron Pharma Inc. and bluebird bio, Inc. are each marketing therapies to treat beta thalassemia, and a number of other biotechnology companies have product candidates in clinical development in similar indications as ours. Some competitive products and therapies are based on scientific approaches that are the same as or similar to our approach, and others are based on entirely different approaches, for example, in the area of RGDs.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developing most of our initial product candidates for the treatment of cancer. There are a variety of available drug therapies marketed for cancer. In many cases, these drugs are administered in combination to enhance efficacy, and cancer drugs are frequently prescribed off-label by healthcare professionals.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our product candidates, if approved, will be priced at a significant premium over competitive generic products, as is the case with TIBSOVO® and IDHIFA®. This may make it difficult for us to achieve our business strategy of using our product candidates in combination with existing therapies or replacing existing therapies with our product candidates.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pursuing product candidates to treat patients with RGDs. There are a variety of treatment options available, including a number of marketed enzyme replacement therapies, for treating patients with RGDs. In addition to currently marketed therapies, there are also a number of products that are either enzyme replacement therapies or gene therapies in various stages of clinical development to treat RGDs. These products in development may provide efficacy, safety, convenience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other benefits that are not provided by currently marketed therapies. As a result, they may provide significant competition for any of our product candidates for which we obtain marketing approval.</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are also a number of product candidates in preclinical or clinical development by third parties to treat hematologic malignancies, solid tumors and RGDs by targeting similar mechanisms of action as our product candidates. These companies include large pharmaceutical companies, such as AstraZeneca plc, Bayer, Daiichi Sankyo, Eli Lilly and Company, Roche and its subsidiary Genentech, Inc., GlaxoSmithKline plc, Merck, and Pfizer, as well as biotechnology companies of various sizes, such as Forma, ASLAN, Clear Creek Bio, IDEAYA, PTC and Rocket Pharma. In addition, there are several companies developing immunotherapies, including metabolic immunotherapies, targeting cancer, including AstraZeneca; BeiGene, Ltd.; Bristol-Myers Squibb Company; GlaxoSmithKline; Genentech; and Merck. Our competitors may develop products that are more effective, safer, more convenient or less costly than any that we are developing or that would render our product candidates obsolete or non-competitive. In addition, our competitors may discover biomarkers that more efficiently measure metabolic pathways than our methods, which may give them a competitive advantage in developing potential products. Our competitors may also obtain marketing approval from the FDA or other regulatory authorities for their products more rapidly than we may obtain approval for ours, which could result in our competitors establishing a strong market position before we are able to enter the market.</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clinical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does not grant our products appropriate periods of data exclusivity before approving generic versions of our products, the sales of our products could be adversely affected.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FDA approval of an NDA, the product covered by the application is specified as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reference-listed drug may be typically lost to the generic product.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a period of three years of new clinical investigation data exclusivity in connection with the approval of a supplemental indication for the product for which a clinical trial is essential for approval.</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a generic manufacturer is somehow able to obtain FDA approval without adherence to these periods of data exclusivity, the competition that our approved products may face from generic versions could negatively impact our future revenue, profitability and cash flows and substantially limit our ability to obtain a return on our investments in those product candidates.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Even if we or any collaborators are able to commercialize any product candidates, such products may become subject to unfavorable pricing regulations, third-party reimbursement practices or healthcare reform initiatives, which would harm our business.</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any collaborators, may not be able to successfully commercialize our product candidates. Even if coverage is provided, the approved reimbursement amount may not be high enough to allow us, or any future collaborators, to</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any collaborators, might obtain marketing approval for a product in a particular country, but then be subject to price regulations that delay commercial launch of the product, possibly for lengthy time periods, which may negatively impact the revenue we are able to generate from the sale of the product in that country. Adverse pricing limitations may hinder our ability or the ability of any collaborators to recoup our or their investment in one or more product candidates, even if our product candidates obtain marketing approval.</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Therefore, our ability, and the ability of any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elsewhere. Government authorities and other third-party payors have attempted to control costs by limiting coverage and the amount of reimbursement for particular medications, which could affect our ability or that of any collaborators to sell our product candidates profitably. These payors may not view our products, if any, as cost-effective, and coverage and reimbursement may not be available to our customers, or those of any collaborators, or may not be sufficient to allow our products, if any, to be marketed on a competitive basis. Cost-control initiatives could cause us, or any collaborators, to decrease the price we, or they, might establish for products, which could result in lower than anticipated product revenue. If the prices for our products, if any, decrease or if governmental and other third-party payors do not provide coverage or adequate reimbursement, our prospects for revenue and profitability will suffer.</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collaborator,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any collaborator, obtain marketing approval could significantly harm our operating results, our ability to raise capital needed to commercialize products and our overall financial condition.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our collaborators could cause us or our collaborators to incur substantial liabilities and could limit commercialization of any medicines that we or they may develop.</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face an inherent risk of product liability exposure related to the testing of our product candidates in human clinical trials and will face an even greater risk as we or they commercially sell any medicines that we or they may develop. If we or our collaborators cannot successfully defend ourselves or themselves against claims that our product candidates or medicines caused injuries, we could incur substantial liabilities. Regardless of merit or eventual outcome, liability claims may result in:</w:t>
      </w:r>
    </w:p>
    <w:p>
      <w:pPr>
        <w:spacing w:after="0" w:line="79"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insurance coverage as we advance or expand our clinical trials and if we successfully commercialize any medicine. Insurance coverage is increasingly expensive. We may not be able to maintain insurance coverage at a reasonable cost or in an amount adequate to satisfy any liability that may arise. In addition, if one of our collaboration partners were to become subject to product liability claims or were unable to successfully defend themselves against such claims, any such collaboration partner could be more likely to terminate such relationship with us and therefore substantially limit the commercial potential of our products.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any third parties with which we contract, may fail or suffer security breaches, which could result in a material disruption of our product development programs.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computer viruses, worms and other destructive or disruptive software,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 attacks by malicious third parties. Cyber incidents are increasing in their frequency, sophistication and intensity, and have become increasingly difficult to detect. Cyber incidents could include the deployment of harmful malware, ransomware, denial-of-service attacks, unauthorized access to or deletion of files, social engineering and other means to affect service reliability and threaten the confidentiality, integrity and availability of information. Cyber incidents also could include phishing attempts or e-mail fraud to cause payments or information to be transmitted to an unintended recipient. We could be subject to risks caused by misappropriation, misuse, leakage, falsification or intentional or accidental release or loss of information maintained in the information systems and networks of our company, including personal information of our employees.</w:t>
      </w:r>
    </w:p>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System failures, accidents, cyber attacks or security breaches could cause interruptions in our operations, and could result in a material disruption of our clinical and commercialization activities and business operations, whether due to a loss of our trade secrets or other proprietary information or other similar disruptions, in addition to possibly requiring substantial expenditures of resources to remedy. For example, the loss of clinical trial data from completed or future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our product research, development and commercialization efforts could be delayed. In addition, we may not have adequate insurance coverage to provide compensation for any losses associated with such events.</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material breach of our security or that of our vendors occurs, the market perception of the effectiveness of our security measures could be harmed, we could lose business and our reputation and credibility could be damaged. We could be required to expend significant amounts of money and other resources to repair or replace information systems or networks.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individuals to whom the personal health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informed consent practices and more detailed notices for clinical trial subjects and investigators. In addition, the GDPR also 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GDPR. In addition, the GDPR provides that EU member states may make their own further laws and regulations limiting the processing of personal data, including genetic, biometric or health data.</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Similar privacy and data security requirements are either in place or underway in the United States. There are a broad variety of data protection laws that may be applicable to our activities, and a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goes into effect in 2020, is creating similar risks and obligations as those created by GDPR. Many other states are considering similar legislation. A broad range of legislative measures also have been introduced at the federal level. Accordingly, failure to comply with current and any future federal and state laws regarding privacy and security of personal information could expose us to fines and penalties. We also face a threat of consumer class actions related to these laws and the overall protection of personal data. Even if we are not determined to have violated these laws, investigations into these issues typically require the expenditure of significant resources and generate negative publicity, which could harm our reputation and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reliant on Celgene for the successful development and commercialization of IDHIFA®. If Celgene does not successfully commercialize IDHIFA® for the treatment of adult patients with R/R AML and an IDH2 mutation, our future prospects may be substantially harmed.</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the FDA approved IDHIFA® for the treatment of adult patients with R/R AML and an IDH2 mutation, on the basis of an NDA submitted by Celgene. Although IDHIFA® has received FDA approval in R/R AML with an IDH2 mutation, we and Celgene are still evaluating enasidenib in other clinical trials. Celgene maintains worldwide development and commercial rights to IDHIFA® and will fund the development and commercialization costs related to this program, although we have certain co-commercialization and co-promotion rights to IDHIFA®. Under the 2010 Agreement, Celgene is responsible for all development costs for enasidenib, and we are eligible to receive up to $80.0 million in milestone payments and a tiered royalty on any net sales of products containing IDHIFA®. Thus, our ability to generate revenue from IDHIFA® will depend heavily on Celgene’s successful development and eventual commercialization of the product.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and continued commercialization of IDHIFA® (enasidenib) could be unsuccessful if:</w:t>
      </w:r>
    </w:p>
    <w:p>
      <w:pPr>
        <w:spacing w:after="0" w:line="117" w:lineRule="exact"/>
        <w:rPr>
          <w:sz w:val="20"/>
          <w:szCs w:val="20"/>
          <w:color w:val="auto"/>
        </w:rPr>
      </w:pPr>
    </w:p>
    <w:p>
      <w:pPr>
        <w:ind w:left="500" w:hanging="49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IDHIFA® becomes no longer accepted as safe, efficacious, and cost-effective for the treatment of adult patients with R/R AML and an IDH2 mutation in the medical community and by third-party payors;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Celgene fails to continue to apply the necessary financial resources and expertise to manufacturing, marketing and selling IDHIFA®;</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Celgene does not continue to develop and implement effective marketing, sales and distribution strategies and operations for development and commercialization of IDHIFA®;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right="2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Celgene does not continue to develop, validate and maintain a commercially viable manufacturing process for IDHIFA® that is compliant with current good manufacturing practices;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Celgene does not successfully obtain third party reimbursement and generate commercial demand that results in sales of IDHIFA®;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Celgene fails to provide us with timely and accurate information regarding development, sales and marketing activities;</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Celgene encounter any third party patent interference, derivation, inter partes review, post-grant review, reexamination or patent infringement claims with respect to enasidenib;</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Celgene does not comply with regulatory and legal requirements applicable to the sale of IDHIFA®;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competing drug products are approved for the same indications as IDHIFA®;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safety risks are identified;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enasidenib does not demonstrate acceptable safety and efficacy in current or future clinical trials, or otherwise does not meet applicable regulatory standards for approval in indications other than for the treatment of adult patients with R/R AML and an IDH2 mutation; or</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Celgene does not maintain or defend intellectual property rights associated with enasidenib.</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the risk that Celgene could determine to reprioritize its commercial or development programs and reduce or terminate its efforts on the development or commercialization of IDHIFA®. For example, Bristol-Myers Squibb, or BMS, acquired Celgene in November 2019. BMS may not retain and motivate key personnel who are important to the continued development of the programs under our agreements with Celgene. In addition, BMS could determine to reprioritize Celgene’s development programs such that it ceases to diligently pursue the development of our programs, and/or cause the agreements between Celgene and us to terminate.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or Celgene experience significant delays or an inability to successfully develop and continue to commercialize IDHIFA® (enasidenib), our business would be materially harmed.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maintain the CStone Agreement or the failure of CStone to perform its obligations under the CStone Agreement, could negatively impact our business prospects in the CStone Territory.</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we entered into the CStone Agreement, for the development and commercialization of ivosidenib, either as monotherapy or in combination with other therapies, in the CStone Territory. Pursuant to the CStone Agreement, CStone will be responsible for the development and commercialization of ivosidenib in the CStone Territory. Our ability to generate royalty and milestone revenue under the CStone Agreement is dependent on CStone’s performance of its obligations under the agreement. We cannot control the amount and timing of resources that CStone will dedicate to these efforts.</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 number of other risks associated with our dependence on the CStone Agreement with respect to ivosidenib in the CStone Territory, including:</w:t>
      </w:r>
    </w:p>
    <w:p>
      <w:pPr>
        <w:spacing w:after="0" w:line="62" w:lineRule="exact"/>
        <w:rPr>
          <w:sz w:val="20"/>
          <w:szCs w:val="20"/>
          <w:color w:val="auto"/>
        </w:rPr>
      </w:pPr>
    </w:p>
    <w:p>
      <w:pPr>
        <w:ind w:left="500" w:hanging="492"/>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CStone may fail to comply with applicable regulatory guidelines with respect to developing, manufacturing or commercializing ivosidenib, which could adversely impact future development or potential sales of ivosidenib in the CStone Territory or elsewhere;</w:t>
      </w:r>
    </w:p>
    <w:p>
      <w:pPr>
        <w:spacing w:after="0" w:line="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CStone could disagree as to future development plans and CStone may delay, fail to commence or stop future clinical trials or other development;</w:t>
      </w:r>
    </w:p>
    <w:p>
      <w:pPr>
        <w:spacing w:after="0" w:line="8" w:lineRule="exact"/>
        <w:rPr>
          <w:rFonts w:ascii="Arial" w:cs="Arial" w:eastAsia="Arial" w:hAnsi="Arial"/>
          <w:sz w:val="18"/>
          <w:szCs w:val="18"/>
          <w:color w:val="auto"/>
        </w:rPr>
      </w:pPr>
    </w:p>
    <w:p>
      <w:pPr>
        <w:jc w:val="both"/>
        <w:ind w:left="500" w:hanging="492"/>
        <w:spacing w:after="0" w:line="259"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disputes between CStone and us, including disagreements regarding the CStone Agreement, that may result in the delay of or failure to achieve developmental, regulatory and sales objectives that would result in milestone or royalty payments, the delay or termination of any future development or commercialization of ivosidenib in the CStone Territory, and/or costly litigation or arbitration that diverts our management’s attention and resources;</w:t>
      </w:r>
    </w:p>
    <w:p>
      <w:pPr>
        <w:spacing w:after="0" w:line="24" w:lineRule="exact"/>
        <w:rPr>
          <w:rFonts w:ascii="Arial" w:cs="Arial" w:eastAsia="Arial" w:hAnsi="Arial"/>
          <w:sz w:val="18"/>
          <w:szCs w:val="18"/>
          <w:color w:val="auto"/>
        </w:rPr>
      </w:pPr>
    </w:p>
    <w:p>
      <w:pPr>
        <w:ind w:left="500" w:hanging="492"/>
        <w:spacing w:after="0" w:line="317" w:lineRule="auto"/>
        <w:tabs>
          <w:tab w:leader="none" w:pos="4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CStone may fail to provide us with timely and accurate information regarding development, sales and marketing activities or supply forecasts, which could adversely impact our ability to comply with our obligations to CStone, as well as our ability to generate accurate financial forecasts; and</w:t>
      </w:r>
    </w:p>
    <w:p>
      <w:pPr>
        <w:ind w:left="500" w:hanging="492"/>
        <w:spacing w:after="0" w:line="342" w:lineRule="auto"/>
        <w:tabs>
          <w:tab w:leader="none" w:pos="4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Business combinations, significant changes in CStone’s business strategy, or the impact of public health epidemics, such as the coronavirus currently impacting China and elsewhere, may adversely affect CStone’s ability or resources available to perform its obligations under the CStone Agreement.</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CStone Agreement is also subject to early termination, including through CStone’s right under certain circumstances to terminate upon advance notice to us. If the CStone Agreement is terminated early, we may not be able to find another collaborator for the further development and commercialization of ivosidenib in the CStone Territory on acceptable terms, or at all, and we may be unable to pursue continued development and commercialization of ivosidenib in the CStone Territory on our own.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our collaborations and may depend on collaborations with additional third parties for the development and commercialization of our product candidates. If those collaborations are not successful, we may not be able to capitalize on the market potential of these product candidates.</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several collaboration agreements, including the 2010 Agreement and the 2016 Agreement with Celgene, and the CStone Agreement. These collaborations involve complex allocations of rights, provide for milestone payments to us based on the achievement of specified clinical development, regulatory and commercial milestones, provide us with royalty-based revenue if certain product candidates are successfully commercialized and provide for cost reimbursements of certain development activities. We cannot predict the success of these collaborations.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seek other third-party collaborators for the development and commercialization of our product candidates.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collaborations with Celgene and CStone, pose the following risks to us:</w:t>
      </w:r>
    </w:p>
    <w:p>
      <w:pPr>
        <w:spacing w:after="0" w:line="117" w:lineRule="exact"/>
        <w:rPr>
          <w:sz w:val="20"/>
          <w:szCs w:val="20"/>
          <w:color w:val="auto"/>
        </w:rPr>
      </w:pPr>
    </w:p>
    <w:p>
      <w:pPr>
        <w:jc w:val="both"/>
        <w:ind w:left="500" w:hanging="492"/>
        <w:spacing w:after="0" w:line="295" w:lineRule="auto"/>
        <w:tabs>
          <w:tab w:leader="none" w:pos="4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these collaborations. Under the 2010 Agreement, programs under a co-development and co-commercialization agreement pursuant to the 2016 Agreement and the CStone Agreement, development and commercialization plans and strategies for licensed programs, such as enasidenib, or in the CStone Territory, ivosidenib, will be conducted in accordance with a plan and budget approved by a joint committee comprised of equal numbers of representatives from each of us and Celgene or CStone, as to which Celgene or CStone, as applicable, may have final decision-making authority.</w:t>
      </w:r>
    </w:p>
    <w:p>
      <w:pPr>
        <w:spacing w:after="0" w:line="3" w:lineRule="exact"/>
        <w:rPr>
          <w:rFonts w:ascii="Arial" w:cs="Arial" w:eastAsia="Arial" w:hAnsi="Arial"/>
          <w:sz w:val="16"/>
          <w:szCs w:val="16"/>
          <w:color w:val="auto"/>
        </w:rPr>
      </w:pPr>
    </w:p>
    <w:p>
      <w:pPr>
        <w:jc w:val="both"/>
        <w:ind w:left="500" w:hanging="492"/>
        <w:spacing w:after="0" w:line="25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the 2016 Agreement, it is possible for Celgene to elect not to progress into preclinical development a product candidate that we have nominated and the joint research committee confirmed, without triggering a termination of the collaboration arrangement.</w:t>
      </w:r>
    </w:p>
    <w:p>
      <w:pPr>
        <w:spacing w:after="0" w:line="26" w:lineRule="exact"/>
        <w:rPr>
          <w:rFonts w:ascii="Arial" w:cs="Arial" w:eastAsia="Arial" w:hAnsi="Arial"/>
          <w:sz w:val="18"/>
          <w:szCs w:val="18"/>
          <w:color w:val="auto"/>
        </w:rPr>
      </w:pPr>
    </w:p>
    <w:p>
      <w:pPr>
        <w:jc w:val="both"/>
        <w:ind w:left="500" w:hanging="492"/>
        <w:spacing w:after="0" w:line="295" w:lineRule="auto"/>
        <w:tabs>
          <w:tab w:leader="none" w:pos="4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which may result in a need for additional capital to pursue further development or commercialization of the applicable product candidate. For example, under the 2010 Agreement and the 2016 Agreement, it is possible for Celgene to terminate the agreement, upon 90 days prior written notice, with respect to any product candidate at any point in the research, development and clinical trial process, without triggering a termination of the remainder of the collaboration arrangement.</w:t>
      </w:r>
    </w:p>
    <w:p>
      <w:pPr>
        <w:spacing w:after="0" w:line="3" w:lineRule="exact"/>
        <w:rPr>
          <w:rFonts w:ascii="Arial" w:cs="Arial" w:eastAsia="Arial" w:hAnsi="Arial"/>
          <w:sz w:val="16"/>
          <w:szCs w:val="16"/>
          <w:color w:val="auto"/>
        </w:rPr>
      </w:pPr>
    </w:p>
    <w:p>
      <w:pPr>
        <w:jc w:val="both"/>
        <w:ind w:left="500" w:hanging="492"/>
        <w:spacing w:after="0" w:line="264"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8" w:lineRule="exact"/>
        <w:rPr>
          <w:rFonts w:ascii="Arial" w:cs="Arial" w:eastAsia="Arial" w:hAnsi="Arial"/>
          <w:sz w:val="18"/>
          <w:szCs w:val="18"/>
          <w:color w:val="auto"/>
        </w:rPr>
      </w:pPr>
    </w:p>
    <w:p>
      <w:pPr>
        <w:jc w:val="both"/>
        <w:ind w:left="500" w:hanging="492"/>
        <w:spacing w:after="0" w:line="25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 For example, under specified circumstances Celgene has the first right to maintain or defend our intellectual property rights with respect to enasidenib under the 2010 Agreement and, although we may have the right to assume the maintenance and defense of our intellectual property rights if Celgene does not, our ability to do so may be compromised by Celgene’s actions.</w:t>
      </w:r>
    </w:p>
    <w:p>
      <w:pPr>
        <w:spacing w:after="0" w:line="26" w:lineRule="exact"/>
        <w:rPr>
          <w:rFonts w:ascii="Arial" w:cs="Arial" w:eastAsia="Arial" w:hAnsi="Arial"/>
          <w:sz w:val="18"/>
          <w:szCs w:val="18"/>
          <w:color w:val="auto"/>
        </w:rPr>
      </w:pPr>
    </w:p>
    <w:p>
      <w:pPr>
        <w:ind w:left="500" w:hanging="492"/>
        <w:spacing w:after="0" w:line="298"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ind w:left="500" w:hanging="492"/>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agreements with Celgene, if we undergo a change of control.</w:t>
      </w:r>
    </w:p>
    <w:p>
      <w:pPr>
        <w:spacing w:after="0" w:line="8" w:lineRule="exact"/>
        <w:rPr>
          <w:rFonts w:ascii="Arial" w:cs="Arial" w:eastAsia="Arial" w:hAnsi="Arial"/>
          <w:sz w:val="18"/>
          <w:szCs w:val="18"/>
          <w:color w:val="auto"/>
        </w:rPr>
      </w:pPr>
    </w:p>
    <w:p>
      <w:pPr>
        <w:jc w:val="both"/>
        <w:ind w:left="500" w:hanging="492"/>
        <w:spacing w:after="0" w:line="259"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For example, in September 2018, we and Celgene agreed to terminate the AG-881 Agreements effective as of September 4, 2018, as a result of which we will be responsible for future development costs of vorasidenib, other than certain agreed-up costs which we and Celgene had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split until December 31, 2018. Celgene can terminate its remaining agreements with us, in their entirety or with respect to enasidenib under the 2010 Agreement or any program under the 2016 Agreement, upon 90 days’ notice and can terminate each entire agreement with us in connection with a material breach of the agreement by us that remains uncured for a period ranging from 60 to 90 days. CStone has the right, under certain circumstances, to terminate the CStone Agreement upon advance notice to us, and may, subject to specified cure periods, terminate the CStone Agreement in the event of our uncured material breach or under specified circumstances relating to our insolvency.</w:t>
      </w:r>
    </w:p>
    <w:p>
      <w:pPr>
        <w:spacing w:after="0" w:line="10"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63" w:lineRule="exact"/>
        <w:rPr>
          <w:rFonts w:ascii="Arial" w:cs="Arial" w:eastAsia="Arial" w:hAnsi="Arial"/>
          <w:sz w:val="18"/>
          <w:szCs w:val="18"/>
          <w:color w:val="auto"/>
        </w:rPr>
      </w:pPr>
    </w:p>
    <w:p>
      <w:pPr>
        <w:jc w:val="both"/>
        <w:ind w:left="500" w:hanging="492"/>
        <w:spacing w:after="0" w:line="25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present or future collaborators of ours were to be involved in a business combination, the continued pursuit and emphasis on our product development or commercialization program under such collaboration could be delayed, diminished or terminated. For example, BMS may not retain and motivate key personnel who are important to the continued development of the programs under our agreements with Celgene. In addition, BMS could determine to reprioritize Celgene’s development programs such that it ceases to diligently pursue the development of our programs, and/or cause the agreements between Celgene and us to terminate.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during the discovery phase of the 2016 Agreement, we may not directly or indirectly develop, manufacture or commercialize, except pursuant to the agreement, any medicine or product candidate with specified activity against certain metabolic targets except in connection with certain third-party collaborations or with respect to certain targets the rights to which have reverted back to us pursuant to the terms of the 2016 Agreement. Following the discovery phase until termination or expiration of the 2010 Agreement, either in its entirety or with respect to the relevant program, we may not directly or indirectly develop, manufacture or commercialize, outside of the collaboration, any medicine or product candidate with specified activity against any collaboration target that is within a licensed program or against any former collaboration target against which Celgene is conducting an independent program under the agreement. Following the discovery phase of the 2016 Agreement until termination or expiration of the applicable co-development and co-commercialization agreement or license agreement under the 2016 Agreement, we may not directly or indirectly develop, manufacture or commercialize, outside of the collaboration, any medicine or product candidate with specified activity against the collaboration target that is the subject of such co-development and co-commercialization agreement or license agreement, except in connection with certain third-party collaborations or with respect to certain targets the rights to which have reverted back to us pursuant to the terms of the 2016 Agreement. During the term of the CStone Agreement, we are prohibited from developing or commercializing, in the CStone Territory and in specified indications, other compounds or products that inhibit IDH1 mutations at specified levels of binding.</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have sufficient funds, we may not be able to further develop our product candidates or bring them to market and generate product revenue.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and expect to continue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independently conduct clinical trials of any of our product candidates. We rely and expect to continue to rely on third parties, such as CROs, clinical data management organizations, medical institutions and clinical investigators, to conduct our clinical trials. In addition, we currently rely and expect to continue to rely on third parties to conduct some aspects of our research and preclinical testing. Any of these third parties may terminate their engagements with us, some in the event of an uncured material breach and some at any time. If any of our relationships with these third parties terminate, we may not be able to enter into arrangements with alternative third-parties or to do so on commercially reasonable terms. Switching or adding additional third parties involves additional cost and requires management time and focus. In addition, there is a natural transition period when a new third party commences work. As a result, delays may occur in our product development activities. Although we seek to carefully manage our relationships with our CROs, we could encounter similar challenges or delays in the future and these challenges or delays could have a material adverse impact on our business, financial condition and prospects.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reliance on third parties for research and development activities will reduce our control over these activities but will not relieve us of our responsibilities. For example, we are responsible for ensuring that each of our studies is conducted in accordance with the applicable protocol, and legal, regulatory and scientific standards, and our reliance on third parties does not relieve us of our responsibility to comply with any such standards. We and these third parties are required to comply with current good clinical practices, or cGCP, which are regulations and guidelines enforced by the FDA, the Competent Authorities of the Member States of the European Economic Area and comparable foreign regulatory authorities for all of our products in clinical development. Regulatory authorities enforce these cGCPs through periodic inspections of trial sponsors, principal investigators and trial sites. If we or any of these third parties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 We also are required to register ongoing clinical trials and post the results of completed clinical trials on a U.S. government-sponsored database, clinicaltrials.gov, within certain timeframes. Failure to do so can result in fines, adverse publicity and civil and criminal sanctions.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third parties on whom we rely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medicines. As a result, our results of operations and the commercial prospects for our medicines would be harmed, our costs could increase and our ability to generate revenue could be delayed.</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testing and expect to continue to do so for late-stage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collaborators obtain marketing approval. To date, we have obtained materials for our product candidates for our ongoing preclinical and clinical testing from third-party manufacturers.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long-term supply agreements in place for commercial supply of TIBSOVO® with third-party manufacturers, we may be unable to establish any further long-term supply agreements with third-party manufacturers or to do so 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environmental and safety and pharmacovigilance reporting.</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on a global basis.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health epidemics, such as the coronavirus currently impacting China and elsewhere, may impact the ability of our existing or future manufacturers to perform their obligations to us.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 or drug product.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or trade secret protection for our medicines and technology, or if the scope of the patent protection obtained is not sufficiently broad, our competitors could develop and commercialize medicines and technology similar or identical to ours, and our ability to successfully commercialize our medicines and technology may be adversely affected.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medicines and technology. We seek to protect our proprietary position by filing patent applications in the United States and abroad related to our novel technologies and medicines that are important to our business. We do not yet have issued patents for all our most advanced product candidates in all markets we intend to commercialize.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 agreements and disclose such output before a patent application is filed, thereby jeopardizing our ability to seek patent protection.</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licensed patent rights, and in the future may license additional patent rights, from third parties.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fail to maintain such patents, or lose rights to those patents,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also apply to patent rights we own.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medicines or that effectively prevent others from commercializing competitive technologies and medicines.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licensed patents or pending patent applications, or that we were the first to file for patent protection of such inventions.</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Assuming the other requirements for patentability are met, prior to March 2013, in the United States, the first to make the claimed invention was entitled to the patent, while outside the United States, the first to file a patent application was entitled to the patent. Beginning in March 2013, the United States transitioned to a first inventor to file system in which, assuming the other requirements for patentability are met, the first inventor to file a patent application will be entitled to the patent. We may be subject to a third-party preissuance submission of prior art to the U.S. Patent and Trademark Office, or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medicines without infringing third-party patent rights.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medicines.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infringe our patents and other intellectual property rights. To counter infringement or unauthorized use, we may be required to file infringement claims, which can be expensive and time 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or our collaborators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litigation regarding patents and other intellectual property rights. We have in the past and may in the future become party to, or threatened with, adversarial proceedings or litigation regarding intellectual property rights with respect to our medicines and technology, including interference proceedings before the USPTO. For example, in 2011, The Leonard and Madlyn Abramson Family Cancer Research Institute at the Abramson Cancer Center of the University of Pennsylvania initiated a lawsuit against us, one of our founders, Craig B. Thompson, M.D., and Celgene, alleging misappropriation of intellectual property and, in 2012, the Trustees of the University of Pennsylvania initiated a similar lawsuit against us and Dr. Thompson. Each of these lawsuits was settled in 2012. We are not aware of any other legal proceedings having been filed against us to date. Third parties may assert infringement claims against us based on existing patents or patents that may be granted in the future. If we or one of 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collaborators are found to infringe a third party’s intellectual property rights, we or they could be required to obtain a license from such third party to continue developing and marketing our medicines and technology. However, we or our collaborators may not be able to obtain any required license on commercially reasonable terms or at all. Even if we or our collaborators were able to obtain a license, it could be non-exclusive, thereby giving our competitors and other third parties access to the same technologies licensed to us. We or our collaborators could be forced, including by court order, to cease developing and commercializing the infringing technology or medicine. In addition, we or our collaborators could be found liable for monetary damages. A finding of infringement could prevent us or our collaborators from commercializing our product candidates or force us to cease some of our business operations, which could materially harm our business. Claims that we or our collaborators have misappropriated the confidential information or trade secrets of third parties could have a similar negative impact on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seeking patents for some of our technology and medicines, we also rely on trade secrets, including unpatented know-how, technology and other proprietary information, to maintain our competitive position. With respect to our proprietary cellular metabolism technology platform, we consider trade secrets and know-how to be our primary intellectual property. Trade secrets and know-how can be difficult to protect. In particular, we anticipate that with respect to this technology platform, these trade secrets and know-how will over time be disseminated within the industry through independent development, the publication of journal articles describing the methodology, and the movement of personnel skilled in the art from academic to industry scientific positions.</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protect these trade secrets,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necessary preclinical studies and clinical trials, the marketing approval process is expensive, time-consuming and uncertain and may prevent us from obtaining approvals for the commercialization of some or all of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product candidates. If we or our collaborators are not able to obtain, or if there are delays in obtaining, required regulatory approvals, we or they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 keeping, labeling, storage, approval, advertising, promotion, sale and distribution, export and import, are subject to comprehensive regulation by the FDA and other regulatory agencies in the United States and by the EMA and comparable regulatory authorities in other countries. With the exception of IDHIFA® and TIBSOVO®, we and our collaborators have not received approval to market any of our product candidates from regulatory authorities in any jurisdiction. Celgene submitted an MAA to the EMA for IDHIFA® for IDH2 mutant-positive AML which it subsequently withdrew in December 2019. We submitted an MAA to the EMA for TIBSOVO® for the treatment of adult patients with IDH1 mutant-positive R/R AML. Failure to obtain marketing approval for a product candidate will prevent us from commercializing the product candidate. We have only limited experience in filing and supporting the applications necessary to gain marketing approvals and expect to rely on third-party contract research organizations to assist us in this process.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we submit,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medicine not commercially viable.</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medicines from being marketed in such jurisdictions.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and sell our medicines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or our collaborators may not obtain approvals from regulatory authorities outside the United States on a timely basis, if at all. For example, Celgene submitted an MAA to the EMA for IDHIFA® for IDH2 mutant-positive AML, which it subsequently withdrew in December 2019. We submitted an MAA to the EMA for TIBSOVO® for the treatment of adult patients with IDH1 mutant-positive R/R AML, Celgene or we may not be successful in obtaining EMA approval of IDHIFA® or TIBSOVO®, respectively, on a timely basis, or ever. Moreover,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market.</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on June 23, 2016, the electorate in the United Kingdom voted in favor of leaving the EU, commonly referred to as Brexit. Following protracted negotiations, the United Kingdom left the EU on January 31, 2020. Under the withdrawal agreement, there is a transitional period until December 31, 2020 (extendable up to two years). Discussions between the United Kingdom and the EU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disruption. The Prime Minister has also indicated that the United Kingdom will not accept high regulatory alignment with the EU.</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our product candidates in the United Kingdom. Any delay in obtaining, or an inability to obtain, any marketing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other European countries may seek to conduct referenda with respect to continuing membership with the EU. We do not know to what extent Brexit or other comparable initiatives, or any resulting changes, would affect our ability to conduct clinical trials or obtain marketing approval in these jurisdictions, and each could materially impact our ability to conduct clinical trials or obtain marketing approval on a timely basis, or at all.</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 nor does it assure approval of the product candidate by FDA.</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enasidenib and ivosidenib received fast track designation for treatment of patients with AML that harbor an IDH2 and IDH1 mutation, respectively. If a drug is intended for the treatment of a serious or life-threatening disease or condition and the drug demonstrates the potential to address unmet medical needs for this disease or condition, the drug sponsor may apply for FDA fast track designation. The FDA has broad discretion whether or not to grant fast track designation, so even if we believe a particular product candidate is eligible for such designation, the FDA may decide not to grant it. Even if our product candidates receive fast track designation, we may not experience a faster development process, review or approval, if at all,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any collaborators, may not be able to obtain orphan drug designation or orphan drug exclusivity for our drug candidates and, even if we do, that exclusivity may not prevent the FDA or the EMA from approving competing drugs.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and biologics for relatively small patient populations as orphan drugs. Under the Orphan Drug Act, the FDA may designate a product as an orphan drug if it is a drug or biologic intended to treat a rare disease or condition, which is generally defined as a patient population of fewer than 200,000 individuals annually in the United States.</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product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Moreover, even after an orphan drug is approved, the FDA can subsequently approve a different product for the same condition if the FDA concludes that the later product is clinically superior in that it is shown to be safer, more effective or makes a major contribution to patient care.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product candidate for which we or our collaborators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 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including the requirement to implement a risk evaluation and mitigation strategy.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medicines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 which violations may result in the imposition of significant administrative, civil and criminal penalties.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medicines, manufacturers or manufacturing processes, or failure to comply with regulatory requirements, may yield various results, including:</w:t>
      </w:r>
    </w:p>
    <w:p>
      <w:pPr>
        <w:spacing w:after="0" w:line="62"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medicine, manufacturers or manufacturing processes;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distribution or use of a medicine;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medicine from the market;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using our medicines.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 requirements regarding the protection of personal information can also lead to significant penalties and sanctions.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medicines for which we obtain marketing approval. Restrictions under applicable federal and state healthcare laws and regulations include the following:</w:t>
      </w:r>
    </w:p>
    <w:p>
      <w:pPr>
        <w:spacing w:after="0" w:line="80" w:lineRule="exact"/>
        <w:rPr>
          <w:sz w:val="20"/>
          <w:szCs w:val="20"/>
          <w:color w:val="auto"/>
        </w:rPr>
      </w:pPr>
    </w:p>
    <w:p>
      <w:pPr>
        <w:jc w:val="both"/>
        <w:ind w:left="500" w:hanging="492"/>
        <w:spacing w:after="0" w:line="259"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4"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$10,781.40 to $21,562.80 per false claim;</w:t>
      </w:r>
    </w:p>
    <w:p>
      <w:pPr>
        <w:spacing w:after="0" w:line="19" w:lineRule="exact"/>
        <w:rPr>
          <w:sz w:val="20"/>
          <w:szCs w:val="20"/>
          <w:color w:val="auto"/>
        </w:rPr>
      </w:pPr>
    </w:p>
    <w:p>
      <w:pPr>
        <w:ind w:left="500" w:hanging="492"/>
        <w:spacing w:after="0" w:line="277"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8"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8"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Under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on January 30, 2017, President Trump issued an Executive Order, applicable to all executive agencies, including the FDA, which required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and commercialize our drug candidates and affect the prices we, or they, may obtain.</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drugs for which we, or they,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drugs.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Among the provisions of the Patient Protection and Affordable Care Act, or ACA, of potential importance to our business and our drug candidates are the following:</w:t>
      </w:r>
    </w:p>
    <w:p>
      <w:pPr>
        <w:spacing w:after="0" w:line="62"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8" w:lineRule="exact"/>
        <w:rPr>
          <w:rFonts w:ascii="Arial" w:cs="Arial" w:eastAsia="Arial" w:hAnsi="Arial"/>
          <w:sz w:val="18"/>
          <w:szCs w:val="18"/>
          <w:color w:val="auto"/>
        </w:rPr>
      </w:pPr>
    </w:p>
    <w:p>
      <w:pPr>
        <w:ind w:left="500" w:hanging="492"/>
        <w:spacing w:after="0" w:line="317"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to eligible beneficiaries during their coverage gap period, as a condition for a manufacturer’s outpatient drugs to be covered under Medicare Part D;</w:t>
      </w: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will stay in effect through 2024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while a definition of “price concession” in the regulations. It is unclear whether these proposed changes we be accepted, and if so, what effect such changes will have on our business. Litigation and legislation over the ACA are likely to continue, with unpredictable and uncertain results. We continue to evaluate the effect that the ACA and its possible repeal and replacement has on our business.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Congress has not passed comprehensive repeal legislation, it has enacted laws that modify certain provisions of the ACA. For example, with enactment of the Tax Cuts and Jobs Act of 2017 or TCJA, which was signed by the President on December 22, 2017,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On December 18, 2019, that court affirmed the lower court’s ruling that the individual mandate portion of the ACA is unconstitutional and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For example, on May 11, 2018, the current administration issued a plan to lower drug prices. Under this blueprint for action, the current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Medicare Part D plan sponsors more negotiation power with drug makers, examine which Medicare Part B drug prices could be negotiated by Medicare Part D plans, improve the design of the Medicare Part B Competitive Acquisition Program, update Medicare’s drug-pricing dashboard to increase transparency, prohibit Medicare Part D contracts that include “gag rules” that prevent pharmacists from informing patients when they could pay less out-of-pocket by not using insurance, and require that Medicare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the FDA for review and approval. Applicants would be required to demonstrate that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collaborators to more stringent drug labeling and post-marketing testing and other requirements.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17"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fires and public health epidemics, such as the coronavirus currently impacting China and elsewhere.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our key executives and scientific leadership and to attract, retain and motivate qualified personnel.</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highly dependent on the principal members of our management and scientific teams, each of whom is employed “at will,” meaning we or they may terminate the employment relationship at any time. We do not maintain “key person” insurance for any of our executives or other employees. The loss of the services of any of these persons could impede the achievement of our research, development and commercialization objectives.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disclose unauthorized activities to us, or comply with securities laws. Employee misconduct could also involve the improper use of information obtained in the course of clinical trials, including for illegal insider trading activities,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disrupt our business, cause dilution to our stockholders or reduce our financial resources.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Other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74" w:lineRule="exact"/>
        <w:rPr>
          <w:rFonts w:ascii="Arial" w:cs="Arial" w:eastAsia="Arial" w:hAnsi="Arial"/>
          <w:sz w:val="17"/>
          <w:szCs w:val="17"/>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63"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shareholder rights plan, or so-called “poison pill,” that would work to dilute the stock ownership of a potential hostile acquirer, effectively preventing acquisitions that have not been approved by our board of directors; and</w:t>
      </w:r>
    </w:p>
    <w:p>
      <w:pPr>
        <w:spacing w:after="0" w:line="1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or inaccurate, evaluations of our stock, the price of our stock and trading volume could decline.</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and trading volume to decline.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our common stock is listed on the Nasdaq Global Select Market, an active trading market for our shares may not be sustained. If an active market for our common stock does not continue, it may be difficult for our stockholders to sell their shares without depressing the market price for the shares or to sell their shares at all.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is likely to be volatile, which could result in substantial losses for purchasers of our common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price of our common stock has been, and may continue to be, volatile and could be subject to wide fluctuations in response to various factors, some of which are beyond our control. For example, since January 1, 2015 the price of our common stock on the Nasdaq Global Select Market has ranged from $28.36 per share to $138.85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0"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74"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results of clinical trials of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63"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including fluctuations in levels of sales of TIBSOVO® or royalties on sales of IDHIFA®, or results of companies that are perceived to be similar to us;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any of the forgoing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stockholders hold a substantial number of shares of our common stock. If such stockholders sell, or indicate an intention to sell, substantial amounts of our common stock in the public market, the trading price of our common stock could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stock incentive plans will become eligible for sale in the public market to the extent permitted by the provisions of various vesting schedules and Rule 144 and Rule 701 under the Securities Act of 1933, as amended, or the Securities Act, and, in any event, we have filed a registration statement permitting shares of common stock issued on exercise of options to be freely sold in the public market. If these additional shares of common stock are sold, or if it is perceived that they will be sold, in the public market, the trading price of our common stock could decline.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holders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Any sales of securities by these stockholders who have exercised registration rights could have a material adverse effect on the trading price of our common stock.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maintain the ability to significantly influence all matters submitted to stockholders for approval.</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our executive officers, directors and a small group of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if they choose to act together,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stock price to fall.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preferences and privileges senior to those of holders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382 of the Internal Revenue Code of 1986, as amended, if a company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taxable income or taxes may be limited. Our prior equity offerings and other changes in our stock ownership, some of which are outside of our control, may have resulted or could in the future result in an ownership change. We completed a review of our changes in ownership through December 31, 2019, and determined that we did not have a qualified ownership change since our last review as of December 31, 2018. We do not expect that this or any previous changes of ownership will result in our net operating loss carryforwards or certain other tax attributes expiring unutilized. Future ownership changes under Section 382 may limit the amount of net operating loss and tax credit carryforwards that we could potentially utilize to reduce future tax liabilities.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could adversely affect our business and financial condition.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President Trump signed into law the TCJA which significantly revised the Internal Revenue Code of 1986, as amended.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remains uncertain and our business and financial condition could be adversely affected. In addition, how various states will respond to the TCJA continues to be uncertain.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as a result of applying the provisions the TCJA (as such provisions may be elaborated on or further developed in guidance, regulations and technical corrections pertaining to the TCJA)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incur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and will continue to incur significant legal, accounting and other expenses as a public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Stockholder activism, the current political environment and the current high level of government intervention and regulatory reform may lead to substantial new regulations.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lease approximately 146,000 square feet at 88 Sidney Street, 43,000 square feet at 64 Sidney Street, and 13,000 square feet at 38 Sidney Street, Cambridge, Massachusetts. All leases, as amended, expire on February 29, 2028. At the end of the initial lease period, we have the option to extend the leases at all facilities for two consecutive five year periods at the fair market rent at the time of the extension.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were not a party to any material legal or arbitration proceedings.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4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“AGIO” since July 24, 2013. Prior to that time, there was no public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13, 2020, there were approximately 16 holders of record of our common stock. This number does not include beneficial owners whose shares are held by nominees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about our equity compensation plans is incorporated herein by reference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Related Stockholder Matters</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or otherwise subject to the liabilities under that Section, nor shall such information be incorporated by reference into any future filing under the Exchange Act or the Securities Act of 1933, as amended, or the Securities Act, except to the extent that we specifically incorporate it by reference into such filing.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performance of our common stock to the NASDAQ Composite Index and the NASDAQ Biotechnology Index from December 31, 2014 through December 31, 2019. The comparison assumes $100 was invested after the market closed on December 31, 2014 in our common stock and in each of the foregoing indices, and it assumes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66130" cy="2341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613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we nor any affiliated purchaser or anyone acting on behalf of us or an affiliated purchaser made any repurchases of shares of our common stock during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should read the following selected historical consolidated financial data along with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and the consolidated financial statements and related notes thereto contained in this Annual Report on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selected financial information included in the tables below are derived from our consolidated financial statements. Our historical results for any prior period are not necessarily indicative of results to be expected in any future period.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300" w:type="dxa"/>
            <w:vAlign w:val="bottom"/>
          </w:tcPr>
          <w:p>
            <w:pPr>
              <w:ind w:left="60"/>
              <w:spacing w:after="0"/>
              <w:rPr>
                <w:sz w:val="20"/>
                <w:szCs w:val="20"/>
                <w:color w:val="auto"/>
              </w:rPr>
            </w:pPr>
            <w:r>
              <w:rPr>
                <w:rFonts w:ascii="Arial" w:cs="Arial" w:eastAsia="Arial" w:hAnsi="Arial"/>
                <w:sz w:val="14"/>
                <w:szCs w:val="14"/>
                <w:color w:val="auto"/>
              </w:rPr>
              <w:t>(in thousands, except shares and per share amounts)</w:t>
            </w:r>
          </w:p>
        </w:tc>
        <w:tc>
          <w:tcPr>
            <w:tcW w:w="240" w:type="dxa"/>
            <w:vAlign w:val="bottom"/>
          </w:tcPr>
          <w:p>
            <w:pPr>
              <w:spacing w:after="0"/>
              <w:rPr>
                <w:sz w:val="24"/>
                <w:szCs w:val="2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10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4"/>
                <w:szCs w:val="24"/>
                <w:color w:val="auto"/>
              </w:rPr>
            </w:pPr>
          </w:p>
        </w:tc>
        <w:tc>
          <w:tcPr>
            <w:tcW w:w="11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(1)</w:t>
            </w:r>
          </w:p>
        </w:tc>
        <w:tc>
          <w:tcPr>
            <w:tcW w:w="340" w:type="dxa"/>
            <w:vAlign w:val="bottom"/>
          </w:tcPr>
          <w:p>
            <w:pPr>
              <w:spacing w:after="0"/>
              <w:rPr>
                <w:sz w:val="24"/>
                <w:szCs w:val="24"/>
                <w:color w:val="auto"/>
              </w:rPr>
            </w:pPr>
          </w:p>
        </w:tc>
        <w:tc>
          <w:tcPr>
            <w:tcW w:w="10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9"/>
                <w:szCs w:val="9"/>
                <w:b w:val="1"/>
                <w:bCs w:val="1"/>
                <w:color w:val="auto"/>
              </w:rPr>
              <w:t>(1)</w:t>
            </w:r>
          </w:p>
        </w:tc>
        <w:tc>
          <w:tcPr>
            <w:tcW w:w="340" w:type="dxa"/>
            <w:vAlign w:val="bottom"/>
          </w:tcPr>
          <w:p>
            <w:pPr>
              <w:spacing w:after="0"/>
              <w:rPr>
                <w:sz w:val="24"/>
                <w:szCs w:val="24"/>
                <w:color w:val="auto"/>
              </w:rPr>
            </w:pPr>
          </w:p>
        </w:tc>
        <w:tc>
          <w:tcPr>
            <w:tcW w:w="11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28"/>
        </w:trPr>
        <w:tc>
          <w:tcPr>
            <w:tcW w:w="4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117,912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94,387</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43,011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69,892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59,119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cost and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544,245</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456,866</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363,805</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270,877</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177,819</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(426,333)</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(362,479)</w:t>
            </w:r>
          </w:p>
        </w:tc>
        <w:tc>
          <w:tcPr>
            <w:tcW w:w="4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(320,794)</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(200,985)</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(118,700)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(411,472)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(346,028)</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(314,670)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(198,471)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(117,732)</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number of common shares used in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computing net loss per share – basic and diluted</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59,994,539</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57,418,300</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46,587,631</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39,126,400</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37,429,262</w:t>
            </w:r>
          </w:p>
        </w:tc>
        <w:tc>
          <w:tcPr>
            <w:tcW w:w="0" w:type="dxa"/>
            <w:vAlign w:val="bottom"/>
          </w:tcPr>
          <w:p>
            <w:pPr>
              <w:spacing w:after="0"/>
              <w:rPr>
                <w:sz w:val="1"/>
                <w:szCs w:val="1"/>
                <w:color w:val="auto"/>
              </w:rPr>
            </w:pPr>
          </w:p>
        </w:tc>
      </w:tr>
      <w:tr>
        <w:trPr>
          <w:trHeight w:val="237"/>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Financial Position at Year End:</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717,806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805,421</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567,750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573,564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375,907</w:t>
            </w: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Operating lease assets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93,643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890,741</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858,457</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614,397</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619,094</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420,065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61,513</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92,519</w:t>
            </w:r>
          </w:p>
        </w:tc>
        <w:tc>
          <w:tcPr>
            <w:tcW w:w="4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163,640</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190,210</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112,716</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250,213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170,920</w:t>
            </w:r>
          </w:p>
        </w:tc>
        <w:tc>
          <w:tcPr>
            <w:tcW w:w="4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238,894</w:t>
            </w:r>
          </w:p>
        </w:tc>
        <w:tc>
          <w:tcPr>
            <w:tcW w:w="34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260,503</w:t>
            </w:r>
          </w:p>
        </w:tc>
        <w:tc>
          <w:tcPr>
            <w:tcW w:w="34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74,947</w:t>
            </w:r>
          </w:p>
        </w:tc>
        <w:tc>
          <w:tcPr>
            <w:tcW w:w="0" w:type="dxa"/>
            <w:vAlign w:val="bottom"/>
          </w:tcPr>
          <w:p>
            <w:pPr>
              <w:spacing w:after="0"/>
              <w:rPr>
                <w:sz w:val="1"/>
                <w:szCs w:val="1"/>
                <w:color w:val="auto"/>
              </w:rPr>
            </w:pPr>
          </w:p>
        </w:tc>
      </w:tr>
      <w:tr>
        <w:trPr>
          <w:trHeight w:val="277"/>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640,528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687,537</w:t>
            </w:r>
          </w:p>
        </w:tc>
        <w:tc>
          <w:tcPr>
            <w:tcW w:w="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375,503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358,591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345,118</w:t>
            </w:r>
          </w:p>
        </w:tc>
        <w:tc>
          <w:tcPr>
            <w:tcW w:w="0" w:type="dxa"/>
            <w:vAlign w:val="bottom"/>
          </w:tcPr>
          <w:p>
            <w:pPr>
              <w:spacing w:after="0"/>
              <w:rPr>
                <w:sz w:val="1"/>
                <w:szCs w:val="1"/>
                <w:color w:val="auto"/>
              </w:rPr>
            </w:pPr>
          </w:p>
        </w:tc>
      </w:tr>
    </w:tbl>
    <w:p>
      <w:pPr>
        <w:jc w:val="both"/>
        <w:ind w:left="20" w:right="80" w:firstLine="6"/>
        <w:spacing w:after="0" w:line="222" w:lineRule="auto"/>
        <w:tabs>
          <w:tab w:leader="none" w:pos="211"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Amounts prior to 2018 do not reflect the impact of the adoption of Accounting Standards Update (ASU) 2014-09, Revenue from Contracts with Customers (Topic 606), in the first quarter of 2018 under the modified retrospective method.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to the consolidated financial statements in this Annual Report on 10-K for additional information.</w:t>
      </w:r>
    </w:p>
    <w:p>
      <w:pPr>
        <w:spacing w:after="0" w:line="7" w:lineRule="exact"/>
        <w:rPr>
          <w:rFonts w:ascii="Arial" w:cs="Arial" w:eastAsia="Arial" w:hAnsi="Arial"/>
          <w:sz w:val="14"/>
          <w:szCs w:val="14"/>
          <w:color w:val="auto"/>
        </w:rPr>
      </w:pPr>
    </w:p>
    <w:p>
      <w:pPr>
        <w:ind w:left="20" w:right="240" w:firstLine="6"/>
        <w:spacing w:after="0" w:line="236" w:lineRule="auto"/>
        <w:tabs>
          <w:tab w:leader="none" w:pos="2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Amounts prior to 2019 do not reflect the impact of the adoption of Accounting Standards Update (ASU) 2016-02, Leases (Topic 842), in the first quarter of 2019 under the optional transition method.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to the consolidated financial statements in this Annual Report on 10-K for additional information.</w:t>
      </w:r>
    </w:p>
    <w:p>
      <w:pPr>
        <w:spacing w:after="0" w:line="21" w:lineRule="exact"/>
        <w:rPr>
          <w:rFonts w:ascii="Arial" w:cs="Arial" w:eastAsia="Arial" w:hAnsi="Arial"/>
          <w:sz w:val="14"/>
          <w:szCs w:val="14"/>
          <w:color w:val="auto"/>
        </w:rPr>
      </w:pPr>
    </w:p>
    <w:p>
      <w:pPr>
        <w:ind w:left="220" w:hanging="194"/>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Expense is net of $7,811, $19,714, and $25,713 of cost reimbursement from related party for the years ended December 31,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You should review "Item 1A, Risk Factors"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biopharmaceutical company committed to the fundamental transformation of patients’ lives through scientific leadership in the field of cellular metabolism and adjacent areas of biology, with the goal of creating differentiated, small molecule medicines for patients in the areas of hematologic malignancies, solid tumors and rare genetic diseases, or RGDs. To address these focus areas, we take a systems biology approach to deeply understand disease states, drive the discovery and validation of novel therapeutic targets, and define patient selection strategies, thereby increasing the probability that our experimental medicines will have the desired therapeutic effect.</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wholly-owned product, TIBSOVO® (ivosidenib) is an oral targeted inhibitor of the mutated isocitrate dehydrogenase 1, or IDH1 enzyme. TIBSOVO® is the first and only U.S. Food and Drug Administration, or FDA-approved therapy for the treatment of adult patients with (i) relapsed or refractory acute myeloid leukemia, or R/R AML, with a susceptible IDH1 mutation as detected by an FDA-approved test (approved by the FDA in July 2018) and (ii) newly diagnosed AML with a susceptible IDH1 mutation as detected by an FDA-approved test who are at least 75 years old or who have comorbidities that preclude use of intensive induction chemotherapy (approved by the FDA in May 2019). In December 2018, we submitted an Marketing Authorization Application, or MAA, to the European Medicines Agency, or EMA, for TIBSOVO® for the treatment of adult patients with R/R AML with an IDH1 mutation. In addition, we are currently evaluating ivosidenib in the clinical trials described below.</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other marketed product is IDHIFA® (enasidenib), an oral targeted inhibitor of the mutated isocitrate dehydrogenase 2, or IDH2 enzyme and the first and only FDA-approved therapy for patients with R/R AML and an IDH2 mutation. In August 2017, the FDA granted our collaboration partner Celgene approval of IDHIFA® for the treatment of adult patients with R/R AML and an IDH2, mutation as detected by an FDA-approved test. We are eligible to receive royalties at tiered low-double digit to mid-teen percentage rates on any net sales of IDHIFA® and have exercised our rights to provide up to one-third of the field-based commercialization efforts in the United States. In June 2018, Celgene submitted an MAA to the EMA for IDHIFA® for IDH2 mutant-positive AML which it subsequently withdrew in December 2019. In addition, we and Celgene are currently evaluating enasidenib in the clinical trials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pre-commercial clinical cancer product candidates are vorasidenib, AG-270, and AG-636.</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Vorasidenib is an orally available, selective brain-penetrant pan-IDH mutant inhibitor. We are developing vorasidenib for the treatment of IDH mutant-positive low grade glioma and are currently evaluating vorasidenib in the clinical trials described below.</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AG-270 is an orally available selective potent inhibitor of methionine adenosyltransferase 2a, or MAT2A. We are currently evaluating AG-270 in a phase 1 dose-escalation and expansion trial in multiple tumor types carrying a methylthioadenosine phosphorylase, or MTAP, deletion, described below.</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AG-636 is an inhibitor of the metabolic enzyme dihydroorotate dehydrogenase, or DHODH. We are currently evaluating AG-636 in the phase 1 dose-escalation trial in lymphoma described below.</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lead product candidate in our RGD portfolio, mitapivat, is an activator of both wild-type and mutant pyruvate kinase-R for the potential treatment of hemolytic anemias. We are currently evaluating mitapivat for the treatment of pyruvate kinase, or PK, deficiency, thalassemia and sickle cell disease, or SCD, in the clinical trials described below.</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aforementioned development programs, we are seeking to advance a number of early-stage discovery programs in our focus areas of malignant hematology, solid tumors and RGDs based on our scientific leadership in the field of cellular metabolism and adjacent areas of biology.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Corporation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our revenue has primarily been generated from our collaboration agreements with Celgene, or collectively, the Collaboration Agreements. Celgene is a related party through ownership of our common stock. In April 2010, we entered into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discovery and development collaboration and license agreement focused on cancer metabolism, or the 2010 Agreement. The 2010 Agreement was amended in October 2011 and July 2014. In April 2015, we entered into a joint worldwide development and profit share collaboration and license agreement with Celgene, and our wholly owned subsidiary, Agios International Sarl, entered into a collaboration and license agreement with Celgene International II Sarl, or collectively, the AG-881 Agreements, to establish a worldwide collaboration focused on the development and commercialization of vorasidenib products. The AG-881 Agreements were terminated effective September 4, 2018. In May 2016, we entered into a master research and collaboration agreement with Celgene, or the 2016 Agreement.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Note 11.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 to the consolidated financial statements in this Annual Report on Form 10-K for additional discussion of the Collaboration Agreements.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2018, we entered into an exclusive license agreement with CStone Pharmaceuticals, or the CStone Agreement, for the development and commercialization of certain products containing ivosidenib in mainland China, Hong Kong, Macau, and Taiwan for therapeutic uses in humans, excluding brain cancer, unless added by us in our sole discretion. We retain development and commercialization rights for the rest of the world. Refer to Item 1,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and Note 11.</w:t>
      </w:r>
      <w:r>
        <w:rPr>
          <w:rFonts w:ascii="Arial" w:cs="Arial" w:eastAsia="Arial" w:hAnsi="Arial"/>
          <w:sz w:val="18"/>
          <w:szCs w:val="18"/>
          <w:i w:val="1"/>
          <w:iCs w:val="1"/>
          <w:color w:val="auto"/>
        </w:rPr>
        <w:t xml:space="preserve"> Collaboration and License Agreements</w:t>
      </w:r>
      <w:r>
        <w:rPr>
          <w:rFonts w:ascii="Arial" w:cs="Arial" w:eastAsia="Arial" w:hAnsi="Arial"/>
          <w:sz w:val="18"/>
          <w:szCs w:val="18"/>
          <w:color w:val="auto"/>
        </w:rPr>
        <w:t>, to the consolidated financial statements in this Annual Report on Form 10-K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 CStone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inception, our operations have primarily focused on organizing and staffing our company, business planning, raising capital, assembling our core capabilities in cellular metabolism, identifying potential product candidates, undertaking preclinical studies, conducting clinical trials and marketing our approved products. To date, we have financed our operations primarily through funding received from our various collaboration agreements discussed above, private placements of our preferred stock, our initial public offering of our common stock and concurrent private placement of common stock to an affiliate of Celgene, and our follow-on public offerings.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since inception, we have incurred significant operating losses. Our net losses were $411.5 million, $346.0 million and $314.7 million for the years ended December 31, 2019, 2018 and 2017, respectively. As of December 31, 2019, we had an accumulated deficit of $1,516.1 million. We expect to continue to incur significant expenses and net losses until such time we are able to report profitable results. Our net losses may fluctuate significantly from year to year. We anticipate that our expenses will increase significantly as we continue to advance and expand clinical development activities for our lead programs: ivosidenib, enasidenib, vorasidenib, mitapivat, AG-270, and AG-636; continue to discover and validate novel targets and drug product candidates; expand and protect our intellectual property portfolio; and hire additional commercial, development and scientific personnel.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wholly owned product, TIBSOVO®, received approval from the FDA on July 20, 2018 for the treatment of adult patients with R/R AML with susceptible IDH1 mutation. Upon FDA approval of TIBSOVO® in the U.S., we began generating product revenue from sales of TIBSOVO®. We sell TIBSOVO® to a limited number of specialty distributors and specialty pharmacy providers in the U.S., or collectively, the Customers. These Customers subsequently resell TIBSOVO® to pharmacies or dispense directly to patients. In addition to distribution agreements with Customers, we enter into arrangements with healthcare providers and payors that provide for government-mandated and/or privately-negotiated rebates, chargebacks and discounts with respect to the purchase of TIBSOVO®. For further discussion of our revenue recognition policy, see Note 2, </w:t>
      </w:r>
      <w:r>
        <w:rPr>
          <w:rFonts w:ascii="Arial" w:cs="Arial" w:eastAsia="Arial" w:hAnsi="Arial"/>
          <w:sz w:val="17"/>
          <w:szCs w:val="17"/>
          <w:i w:val="1"/>
          <w:iCs w:val="1"/>
          <w:color w:val="auto"/>
        </w:rPr>
        <w:t>Summary of Significant Accounting Polices</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Product Revenue</w:t>
      </w:r>
      <w:r>
        <w:rPr>
          <w:rFonts w:ascii="Arial" w:cs="Arial" w:eastAsia="Arial" w:hAnsi="Arial"/>
          <w:sz w:val="17"/>
          <w:szCs w:val="17"/>
          <w:color w:val="auto"/>
        </w:rPr>
        <w:t>, to the consolidated financial statements in this Annual Report on Form 10-K</w:t>
      </w:r>
      <w:r>
        <w:rPr>
          <w:rFonts w:ascii="Arial" w:cs="Arial" w:eastAsia="Arial" w:hAnsi="Arial"/>
          <w:sz w:val="17"/>
          <w:szCs w:val="17"/>
          <w:i w:val="1"/>
          <w:iCs w:val="1"/>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We also recognize collaboration revenue from our agreements with Celgene and CStone, and royalty revenue from Celgene on sales of IDHIFA®.</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future, we expect to continue to generate revenue from a combination of product sales, royalties on product sales, cost reimbursements, milestone payments, and upfront payments to the extent we enter into future collaborations or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consists primarily of manufacturing costs for sales of TIBSOVO®. Based on our policy to expense costs associated with the manufacturing of our products prior to regulatory approval, certain of the manufacturing costs associated with product shipments of TIBSOVO® recorded during the years ended December 31,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were expensed prior to July 20, 2018 and, therefore, are not included in costs of sales during the years ended December 31, 2019 or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the successful development of our product candidates is highly uncertain. As such, at this time, we cannot reasonably estimate or know the nature, timing and estimated costs of the efforts that will be necessary to complete the remainder of the development and commercialize these product candidates. We are also unable to positively predict when future net cash inflows will commence from TIBSOVO® (ivosidenib), IDHIFA® (enasidenib), vorasidenib, mitapivat, AG-270, AG-636, or any of our other product candidates. This is due to the numerous risks and uncertainties associated with developing medicines, including the uncertainty of:</w:t>
      </w:r>
    </w:p>
    <w:p>
      <w:pPr>
        <w:spacing w:after="0" w:line="84" w:lineRule="exact"/>
        <w:rPr>
          <w:sz w:val="20"/>
          <w:szCs w:val="20"/>
          <w:color w:val="auto"/>
        </w:rPr>
      </w:pPr>
    </w:p>
    <w:p>
      <w:pPr>
        <w:ind w:left="500" w:hanging="492"/>
        <w:spacing w:after="0" w:line="277"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 appropriate safety profile with an investigational new drug application, or IND, and/or new drug application, or NDA, enabling toxicology and clinical studies;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successful enrollment in, and completion of, clinical trials;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receipt of marketing approvals from applicable regulatory authorities;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compliant commercial manufacturing capabilities or making arrangements with third-party manufacturers;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an acceptable safety profile of the products following approval.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62"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and development and both preclinical and clinical activities on our behalf, and the cost of consultants;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and clinical study materials; and</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the maintenance of facilities, insurance and other operating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most advanced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Ivosidenib (mutant IDH1 inhibitor)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Ivosidenib is an orally available, selective, potent inhibitor of the mutated IDH1 protein, making it a highly targeted therapy for the treatment of patients with cancers that harbor IDH1 mutations. We hold worldwide development and commercial rights to ivosidenib and have licensed certain development and commercialization rights to ivosidenib in mainland China, Hong Kong, Macau, and Taiwan to CStone, pursuant to an exclusive license agreement with CStone, or the CStone Agreement, discussed more fully above. We will fund the future development and commercialization costs related to this program with the exception of development and commercialization activities of CStone under the CStone Agreement. Mutations in IDH1 have been identified in difficult to treat hematologic and solid tumor cancers, including AML, MDS, cholangiocarcinoma and low grade glioma, where both the treatment options and prognosis for patients are poor.</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2018, the FDA approved TIBSOVO® for the treatment of adult patients with R/R AML and a susceptible IDH1 mutation. The FDA's approval of TIBSOVO® in R/R AML was based on clinical data from a phase 1 open-label, single-arm, multicenter dose-escalation and expansion trial of adult patients with advanced R/R AML and an IDH1 mutation. In December 2018, we submitted an MAA to the EMA for TIBSOVO® for the treatment of adult patients with R/R AML. In May 2019, the FDA approved our sNDA to update the U.S. Prescribing Information for TIBSOVO® to include patients with newly diagnosed AML with a susceptible IDH1 mutation as detected by an FDA-approved test who are at least 75 years old or who have comorbidities that preclude use of intensive induction chemotherapy. The FDA granted orphan drug designation for ivosidenib for the treatment of cholangiocarcinoma, granted Breakthrough Therapy designation for ivosidenib in combination with azacitidine for the treatment of newly diagnosed AML with an IDH1 mutation in adult patients who are at least 75 years old or who have comorbidities that preclude use of intensive induction chemotherapy, and granted Breakthrough Therapy designation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for ivosidenib for the treatment of adult patients with relapsed or refractory MDS with a susceptible IDH1 mutation as detected by an FDA-approved test.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ivosidenib in the following clinical trials: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Hematologic Malignancies</w:t>
      </w:r>
    </w:p>
    <w:p>
      <w:pPr>
        <w:spacing w:after="0" w:line="117" w:lineRule="exact"/>
        <w:rPr>
          <w:sz w:val="20"/>
          <w:szCs w:val="20"/>
          <w:color w:val="auto"/>
        </w:rPr>
      </w:pPr>
    </w:p>
    <w:p>
      <w:pPr>
        <w:jc w:val="both"/>
        <w:ind w:left="500" w:hanging="492"/>
        <w:spacing w:after="0" w:line="264" w:lineRule="auto"/>
        <w:tabs>
          <w:tab w:leader="none" w:pos="495"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A phase 1b, multicenter, international, open-label clinical trial, to evaluate safety and clinical activity of ivosidenib or enasidenib in combination with induction and consolidation therapy in patients with newly diagnosed AML with an IDH1 or IDH2 mutation who are eligible for intensive chemotherapy. This trial has completed enrollment.</w:t>
      </w:r>
    </w:p>
    <w:p>
      <w:pPr>
        <w:spacing w:after="0" w:line="73" w:lineRule="exact"/>
        <w:rPr>
          <w:rFonts w:ascii="Arial" w:cs="Arial" w:eastAsia="Arial" w:hAnsi="Arial"/>
          <w:sz w:val="18"/>
          <w:szCs w:val="18"/>
          <w:i w:val="1"/>
          <w:iCs w:val="1"/>
          <w:color w:val="auto"/>
        </w:rPr>
      </w:pPr>
    </w:p>
    <w:p>
      <w:pPr>
        <w:ind w:left="500" w:right="20" w:hanging="492"/>
        <w:spacing w:after="0" w:line="277" w:lineRule="auto"/>
        <w:tabs>
          <w:tab w:leader="none" w:pos="4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phase 1/2 frontline combination clinical trial, conducted by Celgene, of either ivosidenib or enasidenib in combination with VIDAZA® (azacitidine) in newly diagnosed AML patients not eligible for intensive chemotherapy. The trial has completed enrollment.</w:t>
      </w:r>
    </w:p>
    <w:p>
      <w:pPr>
        <w:spacing w:after="0" w:line="62" w:lineRule="exact"/>
        <w:rPr>
          <w:rFonts w:ascii="Arial" w:cs="Arial" w:eastAsia="Arial" w:hAnsi="Arial"/>
          <w:sz w:val="18"/>
          <w:szCs w:val="18"/>
          <w:color w:val="auto"/>
        </w:rPr>
      </w:pPr>
    </w:p>
    <w:p>
      <w:pPr>
        <w:ind w:left="500" w:hanging="492"/>
        <w:spacing w:after="0" w:line="308" w:lineRule="auto"/>
        <w:tabs>
          <w:tab w:leader="none" w:pos="4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AGILE, a global, registration-enabling phase 3 clinical trial, combining ivosidenib and VIDAZA® (azacitidine) in newly diagnosed AML patients with an IDH1 mutation who are ineligible for intensive chemotherapy. The trial is enrolling patients and we expect to complete enrollment in 2020.</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4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HO150/AMLSG29, an intergroup sponsored, global, registration-enabling phase 3 trial, supported in collaboration with Celgene, combining ivosidenib or enasidenib with standard induction and consolidation chemotherapy in frontline AML patients with an IDH1 or IDH2 mutation. The trial is currently enrolling patients.</w:t>
      </w:r>
    </w:p>
    <w:p>
      <w:pPr>
        <w:spacing w:after="0" w:line="73" w:lineRule="exact"/>
        <w:rPr>
          <w:rFonts w:ascii="Arial" w:cs="Arial" w:eastAsia="Arial" w:hAnsi="Arial"/>
          <w:sz w:val="18"/>
          <w:szCs w:val="18"/>
          <w:color w:val="auto"/>
        </w:rPr>
      </w:pPr>
    </w:p>
    <w:p>
      <w:pPr>
        <w:jc w:val="both"/>
        <w:ind w:left="500" w:hanging="492"/>
        <w:spacing w:after="0" w:line="264" w:lineRule="auto"/>
        <w:tabs>
          <w:tab w:leader="none" w:pos="4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phase 1 multicenter, open-label, dose-escalation and expansion clinical trial, designed to assess its safety, clinical activity and tolerability as a single agent in patients with advanced hematologic malignancies with an IDH1 mutation. The trial recently reopened enrollment of its relapsed or refractory MDS arm, for which we expect to complete enrollment in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Tumors</w:t>
      </w:r>
    </w:p>
    <w:p>
      <w:pPr>
        <w:spacing w:after="0" w:line="117" w:lineRule="exact"/>
        <w:rPr>
          <w:sz w:val="20"/>
          <w:szCs w:val="20"/>
          <w:color w:val="auto"/>
        </w:rPr>
      </w:pPr>
    </w:p>
    <w:p>
      <w:pPr>
        <w:jc w:val="both"/>
        <w:ind w:left="500" w:hanging="492"/>
        <w:spacing w:after="0" w:line="264"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phase 1 multicenter, open-label, dose-escalation and expansion clinical trial, designed to assess its safety, clinical activity and tolerability as a single agent in patients with advanced solid tumors with an IDH1 mutation, including glioma, cholangiocarcinoma, and chondrosarcoma. The trial has completed enrollment.</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ClarIDHy, a registration-enabling phase 3, multicenter, randomized, double-blind, placebo-controlled clinical trial of ivosidenib in previously-treated patients with nonresectable or metastatic cholangiocarcinoma with an IDH1 mutation. The primary endpoint of the trial was met and we expect to file an sNDA with the FDA for TIBSOVO® in cholangiocarcinoma by year-end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Enasidenib (mutant IDH2 inhibitor)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Enasidenib is an orally available, selective, potent inhibitor of the mutated IDH2 protein, making it a highly targeted therapeutic candidate for the treatment of patients with cancers that harbor IDH2 mutations, including those with AML, who have a historically poor prognosis. In August 2017, the FDA granted Celgene approval of IDHIFA® for the treatment of adult patients with R/R AML and an IDH2 mutation. In June 2018, Celgene submitted an MAA to the EMA for IDHIFA® for IDH2 mutant-positive AML, which it subsequently withdrew in December 2019.</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clinical trials discussed above, enasidenib is also being evaluated by Celgene in IDHENTIFY, an international phase 3, multi-center, open-label, randomized clinical trial designed to compare the efficacy and safety of enasidenib versus conventional care regimens in patients 60 years or older with IDH2 mutant-positive AML that is refractory to or relapsed after second- or third-line therapy. This trial has completed enrollment.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Vorasidenib: brain penetrant pan-IDH program</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Vorasidenib is an orally available, selective, brain-penetrant, pan-IDH mutant inhibitor. In connection with the termination of the AG-881 Agreements discussed above, Celgene is eligible to receive royalties from us at a low single-digit percentage rate on worldwide net sales of products containing vorasidenib.</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vorasidenib in the following clinical trials:</w:t>
      </w:r>
    </w:p>
    <w:p>
      <w:pPr>
        <w:spacing w:after="0" w:line="117" w:lineRule="exact"/>
        <w:rPr>
          <w:sz w:val="20"/>
          <w:szCs w:val="20"/>
          <w:color w:val="auto"/>
        </w:rPr>
      </w:pPr>
    </w:p>
    <w:p>
      <w:pPr>
        <w:ind w:left="500" w:hanging="492"/>
        <w:spacing w:after="0" w:line="277" w:lineRule="auto"/>
        <w:tabs>
          <w:tab w:leader="none" w:pos="495"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A phase 1 multi-center, open-label clinical trial of vorasidenib in patients with advanced IDH1 or IDH2 mutant-positive solid tumors, including glioma. The trial has completed enrollment.</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perioperative study with ivosidenib and vorasidenib in low grade glioma to further investigate their effects on brain tumor tissue. The trial has completed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INDIGO, a registration-enabling phase 3 clinical trial of vorasidenib in low-grade (grade 2) glioma with an IDH1 or IDH 2 mutation. The trial is enrolling patients.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Mitapivat: PK activator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Mitapivat is an orally available small molecule and a potent activator of the wild-type (normal) and mutated PKR enzymes, which has resulted in restoration of adenosine triphosphate, or ATP, levels and a decrease in 2,3-diphosphoglycerate levels in blood sampled from patients with PK deficiency and treated ex-vivo with mitapivat. The wild-type PKR activity of mitapivat allowed the study of enzyme activation in healthy volunteers, providing an opportunity to understand the safety, dosing and pharmacodynamic activity of mitapivat prior to entering a proof-of-concept study in patients. The FDA granted orphan drug designation for mitapivat for treatment of patients with PK deficiency and granted us fast track designation to mitapivat for the treatment of patients with PK deficiency.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mitapivat in the following clinical trials:</w:t>
      </w:r>
    </w:p>
    <w:p>
      <w:pPr>
        <w:spacing w:after="0" w:line="117" w:lineRule="exact"/>
        <w:rPr>
          <w:sz w:val="20"/>
          <w:szCs w:val="20"/>
          <w:color w:val="auto"/>
        </w:rPr>
      </w:pPr>
    </w:p>
    <w:p>
      <w:pPr>
        <w:ind w:left="500" w:hanging="492"/>
        <w:spacing w:after="0" w:line="277" w:lineRule="auto"/>
        <w:tabs>
          <w:tab w:leader="none" w:pos="495"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DRIVE PK, a global phase 2, first-in-patient, open-label safety and efficacy clinical trial of mitapivat in adult, transfusion-independent patients with PK deficiency. This trial has completed enrollment.</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ACTIVATE-T, a single arm, global, pivotal trial of mitapivat in up to 40 regularly-transfused patients with PK deficiency. The trial has completed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ACTIVATE, a 1:1 randomized, placebo-controlled, global, pivotal trial of mitapivat in approximately 80 patients with PK deficiency who do not receive regular transfusions. The trial has closed enrollment.</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A phase 2, open-label safety and efficacy clinical trial of mitapivat in approximately 20 adult patients with non-transfusion-dependent thalassemia. The trial is currently enrolling patients.</w:t>
      </w:r>
    </w:p>
    <w:p>
      <w:pPr>
        <w:spacing w:after="0" w:line="62" w:lineRule="exact"/>
        <w:rPr>
          <w:rFonts w:ascii="Arial" w:cs="Arial" w:eastAsia="Arial" w:hAnsi="Arial"/>
          <w:sz w:val="18"/>
          <w:szCs w:val="18"/>
          <w:i w:val="1"/>
          <w:iCs w:val="1"/>
          <w:color w:val="auto"/>
        </w:rPr>
      </w:pPr>
    </w:p>
    <w:p>
      <w:pPr>
        <w:ind w:left="500" w:hanging="492"/>
        <w:spacing w:after="0" w:line="277" w:lineRule="auto"/>
        <w:tabs>
          <w:tab w:leader="none" w:pos="4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addition, in collaboration with the National Institutes of Health, or NIH, we are evaluating mitapivat in patients with SCD pursuant to a cooperative research and development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AG-270: Targeting MAT2A for the treatment of MTAP-deleted cancers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AG-270, an orally available selective potent inhibitor of MAT2A, is our development candidate focused on MTAP-deleted cancer. MTAP is a metabolic gene that is deleted in approximately 15 percent of all cancers. We have shown in preclinical studies that MTAP deletion predicts sensitivity to inhibition of a subset of enzymes involved in the synthesis or utilization of the methyl donor S-adenosylmethionine, or SAM. Among this subset of enzymes, we have targeted MAT2A, the enzyme responsible for the synthesis of SAM in tumor cells.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evaluating AG-270 in a phase 1 trial in multiple tumor types carrying an MTAP deletion. The first part of the trial, which is complete, is a single agent dose-escalation phase in which cohorts of patients received ascending doses of AG-270 to determine the pharmacokinetics, pharmacodynamics and optimal dose, and schedule. The next phase of development, which was initiated in September 2019, is evaluating AG-270 in combination with taxanes in two areas of high unmet needs. One arm of the study will test AG-270 in combination with docetaxel in MTAP-deleted non-small cell lung cancer and the other arm will test AG-270 in combination with nab-paclitaxel and gemcitabine in MTAP-deleted pancreatic ductal adenocarcinoma. Both combination arms have initiated and are enrolling patients.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AG-636: Targeting DHODH for the treatment of hematologic malignancies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discovered a lineage-specific dependence on DHODH in hematologic malignancies, particularly AML and diffuse large B-cell lymphoma. DHODH catalyzes a critical step in the biosynthesis of pyridimidines, which are critical for the production of RNA and DNA. We believe that DHODH inhibition will be differentiated from standard-of-care therapies, both by exhibiting activity in cancers that are resistant to standard-of-care chemotherapeutics and through a mechanism of anti-tumor effect that combines cell growth arrest and cellular differentiation.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evaluating AG-636, an inhibitor of DHODH, licensed to us from Aurigene Discovery Technologies Limited in a phase 1 dose-escalation trial in subjects with advanced lymphomas. This trial is currently enrolling patients.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research and platform programs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research and platform programs include activities related to exploratory efforts, target validation and lead optimization for our discovery and follow-on programs, and our proprietary metabolomics platform.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consist primarily of salaries and other related costs, including stock-based compensation, for personnel in executive, finance, business development, commercial, legal and human resources functions. Other significant costs include facility related costs not otherwise included in research and development expenses, legal fees relating to patent and corporate matters, and fees for accounting and consulting services.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anticipate that our selling, general and administrative expenses will increase in the future to support continued research and development, and commercialization activities, including the potential commercialization of our product candidates. These increases will likely include increased costs related to the hiring of additional personnel and fees to outside consultants, lawyers and accountants, among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 and expenses during the reporting periods. On an ongoing basis, we evaluate our estimates and judgments.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included in this Annual Report on Form 10-K, we believe that the following accounting policies are the most critical to aid you in fully understanding and evaluating our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effective January 1, 2018 using the modified retrospective method applied to those contracts which were not completed as of January 1, 2018. Results for reporting periods beginning after January 1, 2018 are presented under ASC 606, while prior period amounts are not adjusted and continue to be reported in accordance with our historic accounting under Accounting Standards Codification 605, </w:t>
      </w:r>
      <w:r>
        <w:rPr>
          <w:rFonts w:ascii="Arial" w:cs="Arial" w:eastAsia="Arial" w:hAnsi="Arial"/>
          <w:sz w:val="18"/>
          <w:szCs w:val="18"/>
          <w:i w:val="1"/>
          <w:iCs w:val="1"/>
          <w:color w:val="auto"/>
        </w:rPr>
        <w:t>Revenue Recognition</w:t>
      </w:r>
      <w:r>
        <w:rPr>
          <w:rFonts w:ascii="Arial" w:cs="Arial" w:eastAsia="Arial" w:hAnsi="Arial"/>
          <w:sz w:val="18"/>
          <w:szCs w:val="18"/>
          <w:color w:val="auto"/>
        </w:rPr>
        <w:t>, or ASC 605.</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applied the practical expedient that permits aggregating the effect of all contract modifications that occurred prior to January 1, 2018. No other practical expedients were used.</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ASC 606, revenue is recognized when the customer obtains control of promised goods or services, in an amount that reflects the consideration that we expect to receive in exchange for those goods or services. To determine revenue recognition for arrangements that have been determined to be within the scope of ASC 606, we perform the following five steps: (i) identify the contract(s) with a customer; (ii) identify the performance obligations in the contract;</w:t>
      </w:r>
    </w:p>
    <w:p>
      <w:pPr>
        <w:jc w:val="both"/>
        <w:ind w:firstLine="8"/>
        <w:spacing w:after="0" w:line="255" w:lineRule="auto"/>
        <w:tabs>
          <w:tab w:leader="none" w:pos="3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new revenue standard applies to all contracts with customers, except for contracts that are within the scope of other standards, such as leases, insurance, collaboration arrangements and financial instruments.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Once the contract is determined to be within the scope of ASC 606, we assess the goods or services promised within each contract and determine those that are performance obligations, and assess whether each promised good or service is distinct. We will then recognize as revenue the amount of the transaction price that is allocated to the respective performance obligation when (or as) the performance obligation is satisfied.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product revenue from sales of TIBSOVO® to a limited number of specialty distributors and specialty pharmacy providers in the U.S., or collectively, the Customers. The Customers subsequently resell TIBSOVO® to pharmacies or dispense directly to patients. In addition to distribution agreements with Customers, we enter into arrangements with healthcare providers and payors that provide for government-mandated and/or privately-negotiated rebates, chargebacks and discounts with respect to the purchase of TIBSOVO®.</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performance obligation related to the sale of TIBSOVO® is satisfied and revenue is recognized when the Customer obtains control of the product, which occurs at a point in time, typically upon delivery to the Customer.</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product sales are recorded at the net sales price, or transaction price, which includes estimates of variable consideration for which reserves are established and result from contractual adjustments, government rebates, returns and other allowances that are offered within the contracts with our Customers, healthcare providers, payors and other indirect customers relating to the sale of our products.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Contractual Adjustments. </w:t>
      </w:r>
      <w:r>
        <w:rPr>
          <w:rFonts w:ascii="Arial" w:cs="Arial" w:eastAsia="Arial" w:hAnsi="Arial"/>
          <w:sz w:val="18"/>
          <w:szCs w:val="18"/>
          <w:color w:val="auto"/>
        </w:rPr>
        <w:t>We generally provide Customers with discounts, including prompt pay discounts, and allowances that are explicitly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contracts and are recorded as a reduction of revenue in the period the related product revenue is recognized.</w:t>
      </w:r>
    </w:p>
    <w:p>
      <w:pPr>
        <w:spacing w:after="0" w:line="6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Chargebacks and discounts represent the estimated obligations resulting from contractual 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estimated using the expected value method, based upon a range of possible outcomes that are probability-weighted for the estimated channel mix and are established in the same period that the related revenue is recognized, resulting in a reduction of product revenue.</w:t>
      </w:r>
    </w:p>
    <w:p>
      <w:pPr>
        <w:spacing w:after="0" w:line="6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Government rebates consist of Medicare, TriCare, and Medicaid rebates, which we estimate using the expected value method,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range of possible outcomes that are probability-weighted for the estimated payor mix. These reserves are recorded in the same period the related revenue is recognized, resulting in a reduction of product revenue. For Medicare, we also estimate the number of patients in the prescription drug coverage gap for whom we will owe an additional liability under the Medicare Part D program.</w:t>
      </w:r>
    </w:p>
    <w:p>
      <w:pPr>
        <w:spacing w:after="0" w:line="6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Returns. </w:t>
      </w:r>
      <w:r>
        <w:rPr>
          <w:rFonts w:ascii="Arial" w:cs="Arial" w:eastAsia="Arial" w:hAnsi="Arial"/>
          <w:sz w:val="18"/>
          <w:szCs w:val="18"/>
          <w:color w:val="auto"/>
        </w:rPr>
        <w:t>We estimate the amount of product sales that may be returned by Customers and record this estimate as a reduction of revenue in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product revenue is recognized. We currently estimate product return liabilities using the expected value method, based on available industry data, including our visibility into the inventory remaining in the distribution channel.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apply the provisions of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when accounting for our collaboration agreements. We evaluate the presentation of amounts due from our collaborative partners associated with activities in the collaborative arrangement based on the nature of each activity. For transactions with customers, we have reported revenues and costs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606-10-55-36 through 55-40, </w:t>
      </w:r>
      <w:r>
        <w:rPr>
          <w:rFonts w:ascii="Arial" w:cs="Arial" w:eastAsia="Arial" w:hAnsi="Arial"/>
          <w:sz w:val="17"/>
          <w:szCs w:val="17"/>
          <w:i w:val="1"/>
          <w:iCs w:val="1"/>
          <w:color w:val="auto"/>
        </w:rPr>
        <w:t>Principal versus Agent Considerations</w:t>
      </w:r>
      <w:r>
        <w:rPr>
          <w:rFonts w:ascii="Arial" w:cs="Arial" w:eastAsia="Arial" w:hAnsi="Arial"/>
          <w:sz w:val="17"/>
          <w:szCs w:val="17"/>
          <w:color w:val="auto"/>
        </w:rPr>
        <w:t>. We recognize revenue when the customer obtains control of promised goods or services, in an amount that reflects the consideration that we expect to receive in exchange for those goods or services. To determine revenue recognition for arrangements that have been determined to be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based on the relative standalone selling prices of the goods or services provided; and (v) recognize revenue when (or as) we satisfy a performance obligation. We only apply the five-step model to contracts when it is probable that we will collect the consideration we are entitled to in exchange for the goods or services we transfer to the customer.</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Once the contract is determined to be within the scope of ASC 606, we assess the goods or services promised within each contract and determine those that are performance obligations, and assess whether each promised good or service is distinct. We will then recognize as revenue the amount of the transaction price that is allocated to the respective performance obligation when (or as) the performance obligation is satisfied.</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price for each collaboration agreement is determined based on the amount of consideration we expect to be entitled to for satisfying all performance obligations within the agreement. Significant judgment may be required in determining the amount of variable consideration to be included in the transaction price. We use the most likely amount and expected value methods to determine variable consideration and will re-evaluate the transaction price in each reporting period and as uncertain events are resolved or other changes in circumstances occur.</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the initial accounting for these arrangements, we must develop assumptions that require judgment to determine the standalone selling price, or SSP, for each performance obligation identified in the contract. We use these key assumptions to determine the SSP, which include forecast of revenues, development timelines, reimbursement rates for personnel costs, discount rates and probabilities of technical and regulatory success.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If the license is not considered to be distinct from the other performance obligations, we exercise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revenue generated from our collaboration agreements with Celgene relates to the provision of research and development services whereby revenue is recognized under an input method using the ratio of effort incurred to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to the total estimated effort required to complete the performance obligation. The calculation of the total estimated effort includes the total amount of forecasted costs associated with the completion of discovery, pre-clinical or clinical trials, as well as the assumed timing of these activities and estimated patient populations. Such cost estimates include forecasted direct labor and material costs, subcontractor costs, and external contract research organization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 (variable consideration)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collaboration agreements also entitle us to additional payments upon the achievement of performance-based milestones. These milestones are generally categorized into three types: development milestones, which are generally based on the initiation of clinical trials; regulatory milestones, which are generally based on the submission, filing or approval of regulatory applications such as an NDA in the U.S.; and sales-based milestones, which are generally based on meeting specific thresholds of sales in certain geographic areas during a specified period. Upfront and ongoing development milestones that we receive pursuant to our collaboration agreements are not subject to refund if the development activities are not ultimately successful.</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each collaboration agreement that provides for development milestone payments, we evaluate whether it is probable that the consideration associated with each milestone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At the end of each subsequent reporting period, we re-evaluate the probability of a significant reversal of the cumulative revenue recognized for our milestones, and, if necessary, adjust our estimate of the overall transaction price. Any such adjustments are recorded on a cumulative catch-up basis, which would affect revenues from collaborators and loss in the period of adjustment. For arrangements that include sales-based milestone or royalty payments based on the level of sales, and in which the license is deemed to be the predominant item to which the sales-based milestone or royalties relate to, we recognize revenue in the period in which the sales-based milestone is achieved and in the period in which the sales associated with the royalty occur.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 Prior to ASC 606 Adoption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have any product sales for the year ended December 31, 2017. Therefore, there was no impact to our revenue recognition model from the adoption of ASC 606.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 - Prior to ASC 606 Adoption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the year ended December 31, 2017 was recognized under ASC 605. Accordingly, revenue was recognized for each unit of accounting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Amounts received prior to satisfying the revenue recognition criteria were recorded as deferred revenue. Amounts expected to be recognized as revenue within the 12 months following the balance sheet date were classified as current and amounts not expected to be recognized as revenue within the 12 months following the balance sheet date were classified as non-current.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accounted for collaboration agreements with Celgene under ASC 605-25, </w:t>
      </w:r>
      <w:r>
        <w:rPr>
          <w:rFonts w:ascii="Arial" w:cs="Arial" w:eastAsia="Arial" w:hAnsi="Arial"/>
          <w:sz w:val="18"/>
          <w:szCs w:val="18"/>
          <w:i w:val="1"/>
          <w:iCs w:val="1"/>
          <w:color w:val="auto"/>
        </w:rPr>
        <w:t>Revenue Recognition — Multiple-Element Arrangements</w:t>
      </w:r>
      <w:r>
        <w:rPr>
          <w:rFonts w:ascii="Arial" w:cs="Arial" w:eastAsia="Arial" w:hAnsi="Arial"/>
          <w:sz w:val="18"/>
          <w:szCs w:val="18"/>
          <w:color w:val="auto"/>
        </w:rPr>
        <w:t>, or ASC 605-25. The arrangement consideration was allocated to each unit of accounting based on the relative selling price, using our best estimate of selling price of each unit of accounting, if vendor specific objective evidence or third-party evidence was not available. We recognized revenue for the units of accounting as our obligation under the agreement was satisfied.</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for the units of accounting over the term of the related contract or as undelivered items are delivered (proportional performance method), as appropriate. Under the proportional performance method, the consideration allocated to each unit of accounting is recognized as revenue based on the ratio of the level of effort incurred to date compared to the total estimated level of effort required to complete our performance obligations under the unit of accounting. Determining the total estimated level of effort required to complete all performance obligations requires judgment and estimation, including assumptions regarding future operating performance, the timelines of the clinical trial approvals and the estimated patient populations.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Reimbursement of research and development costs under our collaboration agreements with Celgene are recognized as revenue, provided that we are acting as the principal in the transaction according to the provisions outlined in ASC 605-45, </w:t>
      </w:r>
      <w:r>
        <w:rPr>
          <w:rFonts w:ascii="Arial" w:cs="Arial" w:eastAsia="Arial" w:hAnsi="Arial"/>
          <w:sz w:val="18"/>
          <w:szCs w:val="18"/>
          <w:i w:val="1"/>
          <w:iCs w:val="1"/>
          <w:color w:val="auto"/>
        </w:rPr>
        <w:t>Revenue Recognition – Principal Agent Considerations</w:t>
      </w:r>
      <w:r>
        <w:rPr>
          <w:rFonts w:ascii="Arial" w:cs="Arial" w:eastAsia="Arial" w:hAnsi="Arial"/>
          <w:sz w:val="18"/>
          <w:szCs w:val="18"/>
          <w:color w:val="auto"/>
        </w:rPr>
        <w:t>, the amounts are determinable, and collection of the related receivable is reasonably assured.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 - Prior to ASC 606 Adoption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accordance with ASC 605-28, </w:t>
      </w:r>
      <w:r>
        <w:rPr>
          <w:rFonts w:ascii="Arial" w:cs="Arial" w:eastAsia="Arial" w:hAnsi="Arial"/>
          <w:sz w:val="16"/>
          <w:szCs w:val="16"/>
          <w:i w:val="1"/>
          <w:iCs w:val="1"/>
          <w:color w:val="auto"/>
        </w:rPr>
        <w:t>Revenue Recognition — Milestone Method</w:t>
      </w:r>
      <w:r>
        <w:rPr>
          <w:rFonts w:ascii="Arial" w:cs="Arial" w:eastAsia="Arial" w:hAnsi="Arial"/>
          <w:sz w:val="16"/>
          <w:szCs w:val="16"/>
          <w:color w:val="auto"/>
        </w:rPr>
        <w:t>, at the inception of each arrangement that included milestone payments, we evaluated each contingent payment on an individual basis to determine whether they were considered substantive milestones. This evaluation included an assessment of whether (a) the consideration was commensurate with either (1) our performance to achieve the milestone, or (2) the enhancement of the value of the delivered item(s) as a result of a specific outcome resulting from our performance to achieve the milestone, (b) the consideration related solely to past performance, and (c) the consideration was reasonable relative to all of the deliverables and payment terms within the arrangement.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milestones, if they were nonrefundable and deemed substantive, were recognized upon achievement of the milestones. We recognized revenue associated with non-substantive milestones upon achievement of the milestone if there were no undelivered elements and we had no remaining performance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Certain service providers invoice us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 CROs and other third parties in connection with clinical studies and preclinical development activities; (ii) investigative sites in connection with clinical studies; and (iii) third parties related to product manufacturing, development and distribution of clinical supplies.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base our expenses related to CROs on our estimates of the services received and efforts expended pursuant to quotes and contracts with CROs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account for stock-based compensation awards in accordance with ASC 718, </w:t>
      </w:r>
      <w:r>
        <w:rPr>
          <w:rFonts w:ascii="Arial" w:cs="Arial" w:eastAsia="Arial" w:hAnsi="Arial"/>
          <w:sz w:val="18"/>
          <w:szCs w:val="18"/>
          <w:i w:val="1"/>
          <w:iCs w:val="1"/>
          <w:color w:val="auto"/>
        </w:rPr>
        <w:t>Compensation –Stock Compensation</w:t>
      </w:r>
      <w:r>
        <w:rPr>
          <w:rFonts w:ascii="Arial" w:cs="Arial" w:eastAsia="Arial" w:hAnsi="Arial"/>
          <w:sz w:val="18"/>
          <w:szCs w:val="18"/>
          <w:color w:val="auto"/>
        </w:rPr>
        <w:t>. For stock-based awards granted to employees, non-employees and members of the board of directors for their services and for participation in our employee stock purchase plan, we estimate the grant date fair value of each option award using the Black-Scholes option-pricing model. The use of the Black-Scholes option-pricing model requires us to make assumptions with respect to the expected term of the option, the expected volatility of the common stock consistent with the expected life of the option, risk-free interest rates and expected dividend yields of the common stock.</w:t>
      </w:r>
    </w:p>
    <w:p>
      <w:pPr>
        <w:spacing w:after="0" w:line="80"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We use the “simplified method” as prescribed by the Securities and Exchange Commission Staff Accounting Bulletin No. 107,</w:t>
      </w:r>
      <w:r>
        <w:rPr>
          <w:rFonts w:ascii="Arial" w:cs="Arial" w:eastAsia="Arial" w:hAnsi="Arial"/>
          <w:sz w:val="16"/>
          <w:szCs w:val="16"/>
          <w:i w:val="1"/>
          <w:iCs w:val="1"/>
          <w:color w:val="auto"/>
        </w:rPr>
        <w:t xml:space="preserve"> Share Based Payments</w:t>
      </w:r>
      <w:r>
        <w:rPr>
          <w:rFonts w:ascii="Arial" w:cs="Arial" w:eastAsia="Arial" w:hAnsi="Arial"/>
          <w:sz w:val="16"/>
          <w:szCs w:val="16"/>
          <w:color w:val="auto"/>
        </w:rPr>
        <w:t>, to estimate the expected term of stock option grants. Under this approach, the weighted-average expected life is presumed to be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of the contractual term of ten years and the weighted-average vesting term of the stock options, taking into consideration multiple vesting tranches. We utilize this method due to lack of historical data and the plain-vanilla nature of our share-based awards.</w:t>
      </w:r>
    </w:p>
    <w:p>
      <w:pPr>
        <w:spacing w:after="0" w:line="46"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We use a weighted-average of expected volatility based on the volatilities of a representative group of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including ourselves. The expected volatility has been determined using a weighted-average of the historical volatilities of the representative group of companies for a period equal to the expected term of the option grant.</w:t>
      </w:r>
    </w:p>
    <w:p>
      <w:pPr>
        <w:spacing w:after="0" w:line="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rate is based on the yield curve of U.S. Treasury securities with periods commensurate with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being valued.</w:t>
      </w:r>
    </w:p>
    <w:p>
      <w:pPr>
        <w:spacing w:after="0" w:line="6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never paid, and do not anticipate paying, any cash dividends in the foreseeable future, and, therefore, use an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of zero in the option-pricing model.</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We account for forfeitures as they occur and, therefore, do not estimate forfeitures.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awards subject to service-based vesting conditions, we recognize stock-based compensation expense equal to the grant date fair value of stock options on a straight-line basis over the requisite service period. For awards subject to both performance and service-based vesting conditions, we recognize stock-based compensation expense over the remaining service period if the performance condition is considered probable of achievement using management’s best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prior-year amounts have been reclassified to conform with current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(1)</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Product revenue, net</w:t>
            </w:r>
          </w:p>
        </w:tc>
        <w:tc>
          <w:tcPr>
            <w:tcW w:w="2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59,851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13,841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Collaboration revenue – related party</w:t>
            </w:r>
          </w:p>
        </w:tc>
        <w:tc>
          <w:tcPr>
            <w:tcW w:w="27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39,257</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60,661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41,074</w:t>
            </w: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Collaboration revenue – other</w:t>
            </w:r>
          </w:p>
        </w:tc>
        <w:tc>
          <w:tcPr>
            <w:tcW w:w="274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8,262</w:t>
            </w:r>
          </w:p>
        </w:tc>
        <w:tc>
          <w:tcPr>
            <w:tcW w:w="36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12,670</w:t>
            </w:r>
          </w:p>
        </w:tc>
        <w:tc>
          <w:tcPr>
            <w:tcW w:w="34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Royalty revenue – related party</w:t>
            </w:r>
          </w:p>
        </w:tc>
        <w:tc>
          <w:tcPr>
            <w:tcW w:w="27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10,542</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7,215</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1,937</w:t>
            </w:r>
          </w:p>
        </w:tc>
      </w:tr>
      <w:tr>
        <w:trPr>
          <w:trHeight w:val="237"/>
        </w:trPr>
        <w:tc>
          <w:tcPr>
            <w:tcW w:w="54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Total revenue</w:t>
            </w:r>
          </w:p>
        </w:tc>
        <w:tc>
          <w:tcPr>
            <w:tcW w:w="2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117,912</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94,387</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jc w:val="both"/>
        <w:ind w:left="20" w:right="20" w:firstLine="6"/>
        <w:spacing w:after="0" w:line="238" w:lineRule="auto"/>
        <w:tabs>
          <w:tab w:leader="none" w:pos="2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prior to 2018 do not reflect the impact of the adoption of Accounting Standards Update (ASU) 2014-09, Revenue from Contracts with Customers (Topic 606), in the first quarter of 2018 under the modified retrospective method. See Note 2. Summary of Significant Accounting Policies to the consolidated financial statements in this Annual Report on Form 10-K for additional information.</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Total Revenue – 2019 vs 2018 </w:t>
      </w:r>
      <w:r>
        <w:rPr>
          <w:rFonts w:ascii="Arial" w:cs="Arial" w:eastAsia="Arial" w:hAnsi="Arial"/>
          <w:sz w:val="16"/>
          <w:szCs w:val="16"/>
          <w:color w:val="auto"/>
        </w:rPr>
        <w:t>– The increase in Total Revenue of $23.5 million in 2019 compared to 2018 was primarily due to an increase in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$46.0 million partially offset by a decrease in collaboration revenue - related party of $21.4 million. The increase in product revenue related to a full year of sales of TIBSOVO® in 2019 as compared to a partial year of sales in 2018. The decrease in collaboration revenue-related party was primarily due to the $15.0 million milestone payment related to Celgene's filing of an MAA to the EMA for IDHIFA® for IDH2 mutant-positive R/R AML in 2018.</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Total Revenue – 2018 vs. 2017 – </w:t>
      </w:r>
      <w:r>
        <w:rPr>
          <w:rFonts w:ascii="Arial" w:cs="Arial" w:eastAsia="Arial" w:hAnsi="Arial"/>
          <w:sz w:val="16"/>
          <w:szCs w:val="16"/>
          <w:color w:val="auto"/>
        </w:rPr>
        <w:t>The increase in Total Revenue of $51.4 million in 2018 compared to 2017 was primarily due to $13.8 million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$19.6 million of collaboration revenue – related party, and $12.7 million of collaboration revenue – other. The increase in product revenue related to sales of our first commercial product, TIBSOVO®, in the U.S. beginning on July 20, 2018. The increase in collaboration revenue – related party included a $15.0 million milestone payment related to Celgene's filing of an MAA to the EMA for IDHIFA® for IDH2 mutant-positive R/R AML. The increase in collaboration revenue – other was primarily due to revenue recognition under the CStone Agreement, which was entered into in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(1)</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and expenses:</w:t>
            </w:r>
          </w:p>
        </w:tc>
        <w:tc>
          <w:tcPr>
            <w:tcW w:w="2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2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1,317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1,397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(2)</w:t>
            </w:r>
          </w:p>
        </w:tc>
        <w:tc>
          <w:tcPr>
            <w:tcW w:w="28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410,894</w:t>
            </w: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341,324</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292,681</w:t>
            </w: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132,034</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114,145</w:t>
            </w:r>
          </w:p>
        </w:tc>
        <w:tc>
          <w:tcPr>
            <w:tcW w:w="3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71,124</w:t>
            </w:r>
          </w:p>
        </w:tc>
      </w:tr>
      <w:tr>
        <w:trPr>
          <w:trHeight w:val="27"/>
        </w:trPr>
        <w:tc>
          <w:tcPr>
            <w:tcW w:w="5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544,245</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456,866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363,805</w:t>
            </w:r>
          </w:p>
        </w:tc>
      </w:tr>
      <w:tr>
        <w:trPr>
          <w:trHeight w:val="27"/>
        </w:trPr>
        <w:tc>
          <w:tcPr>
            <w:tcW w:w="53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jc w:val="both"/>
        <w:ind w:left="20" w:right="60" w:firstLine="6"/>
        <w:spacing w:after="0" w:line="222" w:lineRule="auto"/>
        <w:tabs>
          <w:tab w:leader="none" w:pos="231"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Amounts prior to 2018 do not reflect the impact of the adoption of Accounting Standards Update (ASU) 2014-09, Revenue from Contracts with Customers (Topic 606), in the first quarter of 2018 under the modified retrospective method.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to the consolidated financial statements in this Annual Report on Form 10-K for additional information.</w:t>
      </w:r>
    </w:p>
    <w:p>
      <w:pPr>
        <w:spacing w:after="0" w:line="20" w:lineRule="exact"/>
        <w:rPr>
          <w:rFonts w:ascii="Arial" w:cs="Arial" w:eastAsia="Arial" w:hAnsi="Arial"/>
          <w:sz w:val="14"/>
          <w:szCs w:val="14"/>
          <w:color w:val="auto"/>
        </w:rPr>
      </w:pPr>
    </w:p>
    <w:p>
      <w:pPr>
        <w:ind w:left="220" w:hanging="194"/>
        <w:spacing w:after="0"/>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Total research and development expenses are net of cost reimbursements from related party of $0, $0, and $7,811 for the years ended December 31, 2019, 2018 and 2017, respectively.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Total Operating Expenses – 2019 vs 2018 </w:t>
      </w:r>
      <w:r>
        <w:rPr>
          <w:rFonts w:ascii="Arial" w:cs="Arial" w:eastAsia="Arial" w:hAnsi="Arial"/>
          <w:sz w:val="18"/>
          <w:szCs w:val="18"/>
          <w:color w:val="auto"/>
        </w:rPr>
        <w:t>– The increase in Total Operating Expenses of $87.4 million in 2019 compared to 2018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$69.6 million in research and development expenses, which is described below under Research and Development Expenses. In addition, we expect cost of sales to increase moderately in 2020 as we have depleted our finished goods inventory that was expensed prior to receiving FDA approval of TIBSOVO®.</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Total Operating Expenses – 2018 vs. 2017 – </w:t>
      </w:r>
      <w:r>
        <w:rPr>
          <w:rFonts w:ascii="Arial" w:cs="Arial" w:eastAsia="Arial" w:hAnsi="Arial"/>
          <w:sz w:val="18"/>
          <w:szCs w:val="18"/>
          <w:color w:val="auto"/>
        </w:rPr>
        <w:t>The increase in Total Operating Expenses of $93.1 million in 2018 compared to 2017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$48.6 million in research and development expenses and an increase of $43.0 million in selling, general and administrative expenses. The increase in selling, general and administrative expenses was primarily due to higher expenses of $27.3 million related to supporting our commercial organization for commercialization of TIBSOVO® as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July 20, 2018. The increase in research and development expenses was primarily due to an increase of $52.3 million in outside services; both of which include cost reimbursements recorded as a reduction of research and development expenses. See the Research and Development Expenses table below for additional details on expense drivers.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by major program, are outlined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(1)</w:t>
            </w: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IDH1 inhibitor (ivosidenib)</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81,640</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IDH2 inhibitor (enasidenib)</w:t>
            </w:r>
          </w:p>
        </w:tc>
        <w:tc>
          <w:tcPr>
            <w:tcW w:w="22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3,340</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Pan IDH inhibitor (vorasidenib (AG-881))</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1,137</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PKR activator (mitapivat)</w:t>
            </w:r>
          </w:p>
        </w:tc>
        <w:tc>
          <w:tcPr>
            <w:tcW w:w="22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47,481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31,254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19,445</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MAT2A inhibitor (AG-270)</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9,603</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DHODH inhibitor (AG-636)</w:t>
            </w:r>
          </w:p>
        </w:tc>
        <w:tc>
          <w:tcPr>
            <w:tcW w:w="22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3,999</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research and platform programs</w:t>
            </w:r>
          </w:p>
        </w:tc>
        <w:tc>
          <w:tcPr>
            <w:tcW w:w="2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17,638</w:t>
            </w:r>
          </w:p>
        </w:tc>
      </w:tr>
      <w:tr>
        <w:trPr>
          <w:trHeight w:val="237"/>
        </w:trPr>
        <w:tc>
          <w:tcPr>
            <w:tcW w:w="59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 direct research and development expenses</w:t>
            </w:r>
          </w:p>
        </w:tc>
        <w:tc>
          <w:tcPr>
            <w:tcW w:w="2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217,389</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167,590</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136,802</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expenses</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119,186</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Facilities and IT related expenses &amp; other</w:t>
            </w:r>
          </w:p>
        </w:tc>
        <w:tc>
          <w:tcPr>
            <w:tcW w:w="22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48,617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38,507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36,693</w:t>
            </w:r>
          </w:p>
        </w:tc>
      </w:tr>
      <w:tr>
        <w:trPr>
          <w:trHeight w:val="27"/>
        </w:trPr>
        <w:tc>
          <w:tcPr>
            <w:tcW w:w="5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indirect research and development expenses</w:t>
            </w:r>
          </w:p>
        </w:tc>
        <w:tc>
          <w:tcPr>
            <w:tcW w:w="2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173,734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155,879</w:t>
            </w:r>
          </w:p>
        </w:tc>
      </w:tr>
      <w:tr>
        <w:trPr>
          <w:trHeight w:val="237"/>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research and development expense</w:t>
            </w:r>
          </w:p>
        </w:tc>
        <w:tc>
          <w:tcPr>
            <w:tcW w:w="2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410,894</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341,324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292,681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Total research and development expenses are net of cost reimbursements from related party of $0, $0, and $7,811 for the years ended December 31, 2019, 2018 and 2017, respectively.</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Total Research and development Expenses – 2019 vs 2018 </w:t>
      </w:r>
      <w:r>
        <w:rPr>
          <w:rFonts w:ascii="Arial" w:cs="Arial" w:eastAsia="Arial" w:hAnsi="Arial"/>
          <w:sz w:val="17"/>
          <w:szCs w:val="17"/>
          <w:color w:val="auto"/>
        </w:rPr>
        <w:t>– The increase in research and development expenses of $69.6 million in 2019 compared to 2018</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a $49.8 million increase in our direct expenses and a $19.8 million increase in our indirect expenses. The increase in direct expenses of $49.8 million was primarily due to a $16.2 million increase for mitapivat driven by continuing enrollment and ongoing trial activities for ACTIVATE, ACTIVATE-T, DRIVE PK and related rollover studies, a $16.1 million increase for vorasidenib (AG-881) driven by clinical start up activities for the phase 3 INDIGO trial including clinical diagnostic costs, and research support activities including clinical pharmacology studies, and a $7.6 million increase in other research and platform program expenses driven by our other research programs due to the ongoing progression of our product pipeline. The increase in indirect expenses of $19.8 million was primarily due to a $10.1 million increase in facility and IT related expenses primarily driven by the new leasing space that we entered into in 2019 and associated costs and a $9.7 million increase in employee related expenses driven by additional hiring during the year to support increased clinical program activity.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Research and development Expenses – 2018 vs. 2017 -</w:t>
      </w:r>
    </w:p>
    <w:p>
      <w:pPr>
        <w:spacing w:after="0" w:line="117" w:lineRule="exact"/>
        <w:rPr>
          <w:sz w:val="20"/>
          <w:szCs w:val="20"/>
          <w:color w:val="auto"/>
        </w:rPr>
      </w:pPr>
    </w:p>
    <w:p>
      <w:pPr>
        <w:ind w:left="500" w:right="20" w:hanging="492"/>
        <w:spacing w:after="0" w:line="27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Ivosidenib costs decreased compared to the prior period as prior period costs included manufacturing expenses associated with our initial commercial inventory as part of our NDA submission in December 2017.</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Enasidenib costs increased as a result of increased internal and external expenses related to our ongoing phase 1b frontline combination trial development work.</w:t>
      </w:r>
    </w:p>
    <w:p>
      <w:pPr>
        <w:spacing w:after="0" w:line="62" w:lineRule="exact"/>
        <w:rPr>
          <w:rFonts w:ascii="Arial" w:cs="Arial" w:eastAsia="Arial" w:hAnsi="Arial"/>
          <w:sz w:val="18"/>
          <w:szCs w:val="18"/>
          <w:color w:val="auto"/>
        </w:rPr>
      </w:pPr>
    </w:p>
    <w:p>
      <w:pPr>
        <w:jc w:val="both"/>
        <w:ind w:left="500" w:hanging="492"/>
        <w:spacing w:after="0" w:line="312" w:lineRule="auto"/>
        <w:tabs>
          <w:tab w:leader="none" w:pos="4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Vorasidenib (AG-881) overall costs decreased as our phase 1 trial in patients with advanced IDH1 or IDH2 mutant-positive hematologic malignancies and our phase 1 trial in IDH1 or IDH2 mutant-positive advanced solid tumors, including glioma, both completed their dose escalation portions. Cost reimbursements for vorasidenib (AG-881) were recognized as revenue in 2018 and as a reduction of R&amp;D expenses in 2017.</w:t>
      </w:r>
    </w:p>
    <w:p>
      <w:pPr>
        <w:spacing w:after="0" w:line="38" w:lineRule="exact"/>
        <w:rPr>
          <w:rFonts w:ascii="Arial" w:cs="Arial" w:eastAsia="Arial" w:hAnsi="Arial"/>
          <w:sz w:val="16"/>
          <w:szCs w:val="16"/>
          <w:color w:val="auto"/>
        </w:rPr>
      </w:pPr>
    </w:p>
    <w:p>
      <w:pPr>
        <w:ind w:left="500" w:hanging="492"/>
        <w:spacing w:after="0" w:line="27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Mitapivat costs increased as a result of the enrollment costs for the ACTIVATE-T trial, which we initiated in April 2018, and the start-up costs for the ACTIVATE trial, which we initiated in June 2018.</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AG-270 costs increased as we initiated a phase 1 trial in March 2018.</w:t>
      </w:r>
    </w:p>
    <w:p>
      <w:pPr>
        <w:spacing w:after="0" w:line="117"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AG-636 costs increased as we completed IND-enabling studies in anticipation of the IND filing, which occurred in October 2018. Prior year development costs for AG-636 were included in other research and platform programs.</w:t>
      </w:r>
    </w:p>
    <w:p>
      <w:pPr>
        <w:spacing w:after="0" w:line="62"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increase in the costs of other research and platform programs includes activities related to exploratory efforts, target validation and lead optimization for our discovery and follow-on programs, and our proprietary metabolomics platform.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14,861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16,451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6,124</w:t>
            </w:r>
          </w:p>
        </w:tc>
      </w:tr>
      <w:tr>
        <w:trPr>
          <w:trHeight w:val="27"/>
        </w:trPr>
        <w:tc>
          <w:tcPr>
            <w:tcW w:w="470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Income – 2019 vs 2018 </w:t>
      </w:r>
      <w:r>
        <w:rPr>
          <w:rFonts w:ascii="Arial" w:cs="Arial" w:eastAsia="Arial" w:hAnsi="Arial"/>
          <w:sz w:val="18"/>
          <w:szCs w:val="18"/>
          <w:color w:val="auto"/>
        </w:rPr>
        <w:t>– The decrease in interest income in 2019 compared to 2018 is primarily driven by lower investment balances in 2019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earned on investments. The lower interest earned on investments in 2019 was primarily due to the amount and timing of the receipt of funds of $277.2 million in November 2019 from a follow-on common stock offering compared to $516.2 million in January 2018 from a follow-on common stock offering.</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Income – 2018 vs. 2017 </w:t>
      </w:r>
      <w:r>
        <w:rPr>
          <w:rFonts w:ascii="Arial" w:cs="Arial" w:eastAsia="Arial" w:hAnsi="Arial"/>
          <w:sz w:val="16"/>
          <w:szCs w:val="16"/>
          <w:color w:val="auto"/>
        </w:rPr>
        <w:t>- The increase in interest income in 2018 compared to 2017 is primarily driven by higher investment balances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earned on investments. The higher interest earned on investments in 2018 was primary due to the amount and timing of the receipt of funds of $516.2 million in January 2018 from a follow-on common stock offering compared to $270.2 million in April 2017 from a follow-on common stock offering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 and Net Loss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2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9"/>
                <w:szCs w:val="9"/>
                <w:b w:val="1"/>
                <w:bCs w:val="1"/>
                <w:color w:val="auto"/>
              </w:rPr>
              <w:t>(1)</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  (426,333)</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(362,479)</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(320,794)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80" w:type="dxa"/>
            <w:vAlign w:val="bottom"/>
          </w:tcPr>
          <w:p>
            <w:pPr>
              <w:jc w:val="right"/>
              <w:ind w:right="36"/>
              <w:spacing w:after="0"/>
              <w:rPr>
                <w:sz w:val="20"/>
                <w:szCs w:val="20"/>
                <w:color w:val="auto"/>
              </w:rPr>
            </w:pPr>
            <w:r>
              <w:rPr>
                <w:rFonts w:ascii="Arial" w:cs="Arial" w:eastAsia="Arial" w:hAnsi="Arial"/>
                <w:sz w:val="18"/>
                <w:szCs w:val="18"/>
                <w:color w:val="auto"/>
              </w:rPr>
              <w:t>(411,472)</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(346,028)</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(314,670)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jc w:val="both"/>
        <w:ind w:left="20" w:right="20" w:firstLine="6"/>
        <w:spacing w:after="0" w:line="238" w:lineRule="auto"/>
        <w:tabs>
          <w:tab w:leader="none" w:pos="2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prior to 2018 do not reflect the impact of the adoption of Accounting Standards Update (ASU) 2014-09, Revenue from Contracts with Customers (Topic 606), in the first quarter of 2018 under the modified retrospective method. See Note 2. Summary of Significant Accounting Policies to the consolidated financial statements in this Annual Report on Form 10-K for additional information.</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Loss from operations and net loss – 2019 vs 2018 </w:t>
      </w:r>
      <w:r>
        <w:rPr>
          <w:rFonts w:ascii="Arial" w:cs="Arial" w:eastAsia="Arial" w:hAnsi="Arial"/>
          <w:sz w:val="18"/>
          <w:szCs w:val="18"/>
          <w:color w:val="auto"/>
        </w:rPr>
        <w:t>– The increase in loss from operations and net loss in 2019 compared to 2018 is primarily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as described above in Total Operating Expenses.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Loss from operations and net loss – 2018 vs. 2017 </w:t>
      </w:r>
      <w:r>
        <w:rPr>
          <w:rFonts w:ascii="Arial" w:cs="Arial" w:eastAsia="Arial" w:hAnsi="Arial"/>
          <w:sz w:val="18"/>
          <w:szCs w:val="18"/>
          <w:color w:val="auto"/>
        </w:rPr>
        <w:t>- The increase in loss from operations and net loss in 2018 compared to 2017 is primarily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as described above in Total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Since our inception, and through December 31, 2019, we have funded our operations through upfront, milestone, extension, cost reimbursement and royalty payments related to our collaboration agreements, product sales, proceeds received from our issuance of preferred stock, our initial public offering and concurrent private placement of common stock to an affiliate of Celgene, and our follow-on public offerings.</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November 2019, we completed a public offering of 9,487,500 shares of common stock at an offering price of $31.00 per share. We received net proceeds from this offering of $277.2 million, after deducting underwriting discounts and commissions paid by us, certain of which are subject to reimbursement.</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we completed a public offering of 8,152,986 shares of common stock at an offering price of $67.00 per share. We received net proceeds from this offering of $516.2 million, after deducting underwriting discounts and commissions paid by us.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2017, we completed a public offering of 5,050,505 shares of common stock at an offering price of $49.50 per share. We received net proceeds from this offering of $235.0 million, after deducting underwriting discounts and commissions paid by us. In addition, we granted the underwriters the right to purchase up to an additional 757,575 shares of common stock, which was exercised in April 2017, resulting in additional net proceeds to us of $35.2 million, after underwriting discounts and commissions. After giving effect to the full exercise of the over-allotment option, the number of shares sold by us in the public offering totaled 5,808,080 shares, and net proceeds to us totaled $270.2 million, after underwriting discounts and commissions.</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our existing cash, cash equivalents and marketable securities, we are eligible to earn a significant amount of milestone payments, cost reimbursements, and royalty payments under our collaboration agreements with Celgene and CStone, and designation fees, license option fees and extension fees under our collaboration agreements with Celgene. Our ability to earn the milestone payments, cost reimbursements and royalty payments, and the timing of earning these amounts are dependent upon the timing and outcome of our development, regulatory and commercial activities, and is uncertain at this time. Our right to payments under our collaboration agreements with Celgene and CStone are our only committed potential external source of funds.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2019, 2018 and 2017: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(370,622)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(304,421)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(285,232)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91,440</w:t>
            </w:r>
          </w:p>
        </w:tc>
        <w:tc>
          <w:tcPr>
            <w:tcW w:w="4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(273,825)</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(57,908)</w:t>
            </w:r>
          </w:p>
        </w:tc>
      </w:tr>
      <w:tr>
        <w:trPr>
          <w:trHeight w:val="27"/>
        </w:trPr>
        <w:tc>
          <w:tcPr>
            <w:tcW w:w="5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289,611</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546,024</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285,110</w:t>
            </w:r>
          </w:p>
        </w:tc>
      </w:tr>
      <w:tr>
        <w:trPr>
          <w:trHeight w:val="237"/>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10,429</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(32,222)</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(58,030)</w:t>
            </w:r>
          </w:p>
        </w:tc>
      </w:tr>
      <w:tr>
        <w:trPr>
          <w:trHeight w:val="34"/>
        </w:trPr>
        <w:tc>
          <w:tcPr>
            <w:tcW w:w="5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2019, we received $60.7 million from product sales of TIBSOVO®, $19.1 million in cost reimbursements and royalty payments under our collaboration agreement with Celgene, and a $5.0 million milestone payment under the CStone Agreement. The significant increase in product sales of TIBSOVO® was primarily due to having a full year of sales in 2019. These amounts were offset by increased operating expenses that related to increases in clinical study costs due to advancements in our most advanced product candidates, commercialization efforts, expanded facilities and increased staffing needs due to our expanding operations.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we received $10.0 million from product sales of TIBSOVO®, $20.1 million in cost reimbursements and royalty payments and a $15.0 million milestone payment under our collaboration agreements with Celgene and $12.0 million under the CStone Agreement. These amounts were offset by increased operating expenses that related to increases in clinical study costs due to advancements in our most advanced product candidates, commercialization efforts, expanded facilities and increased staffing needs due to our expanding operations.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we incurred increased operating expenses related to increases in clinical study costs due to advancements in our most advanced product candidates, and expanded facilities and increased staffing needs due to our expanding operations. These amounts were offset by the receipt of $17.0 million in cost reimbursements related to our collaboration agreements and $3.1 million as reimbursement of tenant improvements under our lease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cash provided by investing activities for the year ended December 31, 2019 was primarily the result of lower purchases of marketable securities than proceeds from maturities and sales of marketable securities, offset by $12.2 million in purchases of property and equipment.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used in investing activities for the year ended December 31, 2018 was primarily the result of higher purchases of marketable securities than proceeds from maturities and sales of marketable securities, and $7.0 million in purchases of property and equipment.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used in investing activities for the year ended December 31, 2017 was primarily the result of higher purchases of marketable securities than proceeds from maturities and sales of marketable securities, in addition to $4.6 million for purchases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provided by financing activities for the year ended December 31, 2019 was primarily the result of proceeds of $277.2 million from the November 2019 follow-on public offering, net of underwriting discounts and commissions, as well as proceeds of $12.5 million received from stock option exercises and purchases made pursuant to our employee stock purchase plan.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provided by financing activities for the year ended December 31, 2018 was primarily the result of proceeds of $516.2 million from the January 2018 follow-on public offering, net of underwriting discounts and commissions, as well as proceeds of $30.2 million received from stock option exercises and purchases made pursuant to our employee stock purchase plan.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provided by financing activities for the year ended December 31, 2017 was primarily the result of proceeds of $270.2 million from the April 2017 follow-on public offering of our common stock, net of underwriting discounts and commissions, and proceeds of $14.2 million received from stock option exercises and purchases made pursuant to our employee stock purchase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to commercialize TIBSOVO®, and continue the research, development and clinical trials of, and seek additional marketing approvals for, our product candidates. If we obtain additional marketing approval for any of our other product candidates, we expect to incur significant commercialization expenses related to product sales, marketing, manufacturing and distribution to the extent that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sales, marketing, manufacturing and distribution are not the responsibility of Celgene, CStone or other partners. Accordingly, we will need to obtain substantial additional funding in connection with our continuing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existing cash, cash equivalents and marketable securities as of December 31, 2019, together with anticipated product and royalty revenue, anticipated interest income and anticipated expense reimbursements under our collaboration agreements, but excluding any additional collaboration-related payments, will enable us to fund our operating expenses and capital expenditure requirements through at least the end of 2021. Our future capital requirements will depend on many factors, including:</w:t>
      </w:r>
    </w:p>
    <w:p>
      <w:pPr>
        <w:spacing w:after="0" w:line="79"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product candidates;</w:t>
      </w:r>
    </w:p>
    <w:p>
      <w:pPr>
        <w:spacing w:after="0" w:line="74" w:lineRule="exact"/>
        <w:rPr>
          <w:rFonts w:ascii="Arial" w:cs="Arial" w:eastAsia="Arial" w:hAnsi="Arial"/>
          <w:sz w:val="17"/>
          <w:szCs w:val="17"/>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 of our collaborations;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technologies;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associated with preparation for the potential commercial launch of one or more of our product candidates;</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levels of sales of TIBSOVO® or royalties on sales of IDHIFA®;</w:t>
      </w:r>
    </w:p>
    <w:p>
      <w:pPr>
        <w:spacing w:after="0" w:line="6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We do not have any committed potential external source of funds other than our collaborations.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on attractive terms,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as of the payment due date by period at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81"/>
              </w:rPr>
              <w:t>Less</w:t>
            </w:r>
          </w:p>
        </w:tc>
        <w:tc>
          <w:tcPr>
            <w:tcW w:w="460" w:type="dxa"/>
            <w:vAlign w:val="bottom"/>
          </w:tcPr>
          <w:p>
            <w:pPr>
              <w:spacing w:after="0"/>
              <w:rPr>
                <w:sz w:val="13"/>
                <w:szCs w:val="13"/>
                <w:color w:val="auto"/>
              </w:rPr>
            </w:pPr>
          </w:p>
        </w:tc>
        <w:tc>
          <w:tcPr>
            <w:tcW w:w="1140" w:type="dxa"/>
            <w:vAlign w:val="bottom"/>
            <w:vMerge w:val="restart"/>
          </w:tcPr>
          <w:p>
            <w:pPr>
              <w:jc w:val="center"/>
              <w:ind w:right="339"/>
              <w:spacing w:after="0"/>
              <w:rPr>
                <w:sz w:val="20"/>
                <w:szCs w:val="20"/>
                <w:color w:val="auto"/>
              </w:rPr>
            </w:pPr>
            <w:r>
              <w:rPr>
                <w:rFonts w:ascii="Arial" w:cs="Arial" w:eastAsia="Arial" w:hAnsi="Arial"/>
                <w:sz w:val="14"/>
                <w:szCs w:val="14"/>
                <w:b w:val="1"/>
                <w:bCs w:val="1"/>
                <w:color w:val="auto"/>
                <w:w w:val="98"/>
              </w:rPr>
              <w:t>1-3</w:t>
            </w:r>
          </w:p>
        </w:tc>
        <w:tc>
          <w:tcPr>
            <w:tcW w:w="300" w:type="dxa"/>
            <w:vAlign w:val="bottom"/>
          </w:tcPr>
          <w:p>
            <w:pPr>
              <w:spacing w:after="0"/>
              <w:rPr>
                <w:sz w:val="13"/>
                <w:szCs w:val="13"/>
                <w:color w:val="auto"/>
              </w:rPr>
            </w:pPr>
          </w:p>
        </w:tc>
        <w:tc>
          <w:tcPr>
            <w:tcW w:w="10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3"/>
                <w:szCs w:val="13"/>
                <w:color w:val="auto"/>
              </w:rPr>
            </w:pPr>
          </w:p>
        </w:tc>
        <w:tc>
          <w:tcPr>
            <w:tcW w:w="106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9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4"/>
              </w:rPr>
              <w:t>than</w:t>
            </w: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145,072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13,242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31,153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36,786</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63,891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Manufacturing arrangements</w:t>
            </w:r>
          </w:p>
        </w:tc>
        <w:tc>
          <w:tcPr>
            <w:tcW w:w="3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5,269</w:t>
            </w:r>
          </w:p>
        </w:tc>
        <w:tc>
          <w:tcPr>
            <w:tcW w:w="42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1,205</w:t>
            </w:r>
          </w:p>
        </w:tc>
        <w:tc>
          <w:tcPr>
            <w:tcW w:w="460" w:type="dxa"/>
            <w:vAlign w:val="bottom"/>
          </w:tcPr>
          <w:p>
            <w:pPr>
              <w:spacing w:after="0"/>
              <w:rPr>
                <w:sz w:val="21"/>
                <w:szCs w:val="21"/>
                <w:color w:val="auto"/>
              </w:rPr>
            </w:pPr>
          </w:p>
        </w:tc>
        <w:tc>
          <w:tcPr>
            <w:tcW w:w="1140" w:type="dxa"/>
            <w:vAlign w:val="bottom"/>
          </w:tcPr>
          <w:p>
            <w:pPr>
              <w:jc w:val="right"/>
              <w:ind w:right="199"/>
              <w:spacing w:after="0"/>
              <w:rPr>
                <w:sz w:val="20"/>
                <w:szCs w:val="20"/>
                <w:color w:val="auto"/>
              </w:rPr>
            </w:pPr>
            <w:r>
              <w:rPr>
                <w:rFonts w:ascii="Arial" w:cs="Arial" w:eastAsia="Arial" w:hAnsi="Arial"/>
                <w:sz w:val="18"/>
                <w:szCs w:val="18"/>
                <w:color w:val="auto"/>
              </w:rPr>
              <w:t>4,064</w:t>
            </w:r>
          </w:p>
        </w:tc>
        <w:tc>
          <w:tcPr>
            <w:tcW w:w="3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enter into agreements in the normal course of business with CROs for clinical trials and CMOs for supply manufacturing and with vendors for preclinical research studies and other services and products for operating purposes. These contractual obligations are cancelable at any time by us, generally upon prior written notice to the vendor, and are thus not included in the contractual obligations table.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the specific payments noted in the table of contractual obligations, we are obligated to make future milestone and royalty payments under our global license agreement with Aurigene, or the Aurigene Agreement. Financial terms of the Aurigene Agreement include potential future milestone payments of up to $15.0 million if we achieve certain development and regulatory milestones and low single-digit royalties on net product sales, if any.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initiation of the first phase 1 clinical trial for DHODH, we made a milestone payment of $2.0 million. We do not expect to make any milestone payments during the next 12 months.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also party to other license agreements which include contingent payments. However, contingent payments related to these license agreements are not disclosed as the satisfaction of these contingent payments is uncertain at December 31, 2019 and, if satisfied, the timing of payment for these amounts was not reasonably estimable at December 31, 2019. Commitments related to the license agreements include contingent payments that will become payable if and when certain development, regulatory and commercial milestones are achieved. During the next 12 months, we do not expect to make milestone payments related to such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 related to changes in interest rates. As of December 31, 2019, we had cash, cash equivalents and marketable securities of $717.8 million, consisting primarily of investments in U.S. Treasuries, certificates of deposit, and government and corporate debt securities. Our primary exposure to market risk is interest rate sensitivity, which is affected by changes in the general level of U.S. interest rates, particularly because our investments are in short-term marketable securities. Our marketable securities are subject to interest rate risk and could fall in value if market interest rates increase. Due to the short-term duration of our investment portfolio and the low risk profile of our investments, we do not believe an immediate and uniform 100 basis point increase in interest rates would have a material effect on the fair market value of our investment portfolio.</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have contracts with CROs and CMOs that are located in Asia and Europe that are denominated in foreign currencies. We are subject to fluctuations in foreign currency rates in connection with these agreements. We do not currently hedge our foreign currency exchange rate risk. As of December 31, 2019 and December 31, 2018, we had minimal or no liabilities denominated in foreign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financial statements required to be filed pursuant to this Item 8 are appended to this Annual Report on Form 10-K. An index of those financial statements is found in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of this Annual Report on Form 10-K.</w:t>
      </w:r>
    </w:p>
    <w:p>
      <w:pPr>
        <w:spacing w:after="0" w:line="166" w:lineRule="exact"/>
        <w:rPr>
          <w:sz w:val="20"/>
          <w:szCs w:val="20"/>
          <w:color w:val="auto"/>
        </w:rPr>
      </w:pPr>
    </w:p>
    <w:p>
      <w:pPr>
        <w:ind w:right="39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2019,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preparation of financial statements for external purposes in accordance with U.S. GAAP. Our internal control over financial reporting includes those policies and procedures that:</w:t>
      </w:r>
    </w:p>
    <w:p>
      <w:pPr>
        <w:spacing w:after="0" w:line="62" w:lineRule="exact"/>
        <w:rPr>
          <w:sz w:val="20"/>
          <w:szCs w:val="20"/>
          <w:color w:val="auto"/>
        </w:rPr>
      </w:pPr>
    </w:p>
    <w:p>
      <w:pPr>
        <w:ind w:left="480" w:hanging="472"/>
        <w:spacing w:after="0"/>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74" w:lineRule="exact"/>
        <w:rPr>
          <w:rFonts w:ascii="Arial" w:cs="Arial" w:eastAsia="Arial" w:hAnsi="Arial"/>
          <w:sz w:val="17"/>
          <w:szCs w:val="17"/>
          <w:color w:val="auto"/>
        </w:rPr>
      </w:pPr>
    </w:p>
    <w:p>
      <w:pPr>
        <w:ind w:left="500" w:hanging="492"/>
        <w:spacing w:after="0" w:line="298" w:lineRule="auto"/>
        <w:tabs>
          <w:tab w:leader="none" w:pos="4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ind w:left="500" w:hanging="492"/>
        <w:spacing w:after="0" w:line="277" w:lineRule="auto"/>
        <w:tabs>
          <w:tab w:leader="none" w:pos="4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2019. In making this assessment, management used the criteria set forth by the Committee of Sponsoring Organizations of the Treadway Commission (COSO) in its 2013 Internal Control – Integrated Framework. Based on our assessment, our management has concluded that, as of December 31, 2019, our internal control over financial reporting is effective based on those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fiscal quarter ended December 31, 2019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2020 Annual Meeting of Stockholders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2020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2020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2020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2020 Annual Meeting of Stockholders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1080" w:type="dxa"/>
            <w:vAlign w:val="bottom"/>
            <w:gridSpan w:val="11"/>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40" w:type="dxa"/>
            <w:vAlign w:val="bottom"/>
          </w:tcPr>
          <w:p>
            <w:pPr>
              <w:ind w:left="112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08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10800" w:type="dxa"/>
            <w:vAlign w:val="bottom"/>
            <w:gridSpan w:val="9"/>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0" w:type="dxa"/>
            <w:vAlign w:val="bottom"/>
            <w:gridSpan w:val="9"/>
          </w:tcPr>
          <w:p>
            <w:pPr>
              <w:ind w:left="540"/>
              <w:spacing w:after="0"/>
              <w:rPr>
                <w:sz w:val="20"/>
                <w:szCs w:val="20"/>
                <w:color w:val="auto"/>
              </w:rPr>
            </w:pPr>
            <w:r>
              <w:rPr>
                <w:rFonts w:ascii="Arial" w:cs="Arial" w:eastAsia="Arial" w:hAnsi="Arial"/>
                <w:sz w:val="18"/>
                <w:szCs w:val="18"/>
                <w:color w:val="auto"/>
                <w:w w:val="92"/>
              </w:rPr>
              <w:t>The following documents are included on pages F-1 through F-37 attached hereto and are filed as part of this Annual Report on Form 10-K.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1060" w:type="dxa"/>
            <w:vAlign w:val="bottom"/>
            <w:gridSpan w:val="10"/>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Report of Independent Registered Public Accounting Firm</w:t>
              </w:r>
            </w:hyperlink>
          </w:p>
        </w:tc>
        <w:tc>
          <w:tcPr>
            <w:tcW w:w="280" w:type="dxa"/>
            <w:vAlign w:val="bottom"/>
            <w:gridSpan w:val="2"/>
          </w:tcPr>
          <w:p>
            <w:pPr>
              <w:jc w:val="right"/>
              <w:spacing w:after="0"/>
              <w:rPr>
                <w:rFonts w:ascii="Arial" w:cs="Arial" w:eastAsia="Arial" w:hAnsi="Arial"/>
                <w:sz w:val="18"/>
                <w:szCs w:val="18"/>
                <w:color w:val="0000FF"/>
              </w:rPr>
            </w:pPr>
            <w:hyperlink w:anchor="page99">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3"/>
          </w:tcPr>
          <w:p>
            <w:pPr>
              <w:spacing w:after="0"/>
              <w:rPr>
                <w:rFonts w:ascii="Arial" w:cs="Arial" w:eastAsia="Arial" w:hAnsi="Arial"/>
                <w:sz w:val="18"/>
                <w:szCs w:val="18"/>
                <w:color w:val="0000FF"/>
                <w:w w:val="88"/>
              </w:rPr>
            </w:pPr>
            <w:hyperlink w:anchor="page101">
              <w:r>
                <w:rPr>
                  <w:rFonts w:ascii="Arial" w:cs="Arial" w:eastAsia="Arial" w:hAnsi="Arial"/>
                  <w:sz w:val="18"/>
                  <w:szCs w:val="18"/>
                  <w:color w:val="0000FF"/>
                  <w:w w:val="88"/>
                </w:rPr>
                <w:t>Consolidated Balance Sheets</w:t>
              </w:r>
            </w:hyperlink>
          </w:p>
        </w:tc>
        <w:tc>
          <w:tcPr>
            <w:tcW w:w="2120" w:type="dxa"/>
            <w:vAlign w:val="bottom"/>
            <w:gridSpan w:val="6"/>
          </w:tcPr>
          <w:p>
            <w:pPr>
              <w:spacing w:after="0"/>
              <w:rPr>
                <w:sz w:val="18"/>
                <w:szCs w:val="18"/>
                <w:color w:val="auto"/>
              </w:rPr>
            </w:pPr>
          </w:p>
        </w:tc>
        <w:tc>
          <w:tcPr>
            <w:tcW w:w="6840" w:type="dxa"/>
            <w:vAlign w:val="bottom"/>
          </w:tcPr>
          <w:p>
            <w:pPr>
              <w:spacing w:after="0"/>
              <w:rPr>
                <w:sz w:val="18"/>
                <w:szCs w:val="18"/>
                <w:color w:val="auto"/>
              </w:rPr>
            </w:pPr>
          </w:p>
        </w:tc>
        <w:tc>
          <w:tcPr>
            <w:tcW w:w="280" w:type="dxa"/>
            <w:vAlign w:val="bottom"/>
            <w:gridSpan w:val="2"/>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60" w:type="dxa"/>
            <w:vAlign w:val="bottom"/>
            <w:gridSpan w:val="10"/>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Consolidated Statements of Operations</w:t>
              </w:r>
            </w:hyperlink>
          </w:p>
        </w:tc>
        <w:tc>
          <w:tcPr>
            <w:tcW w:w="280" w:type="dxa"/>
            <w:vAlign w:val="bottom"/>
            <w:gridSpan w:val="2"/>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60" w:type="dxa"/>
            <w:vAlign w:val="bottom"/>
            <w:gridSpan w:val="10"/>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Consolidated Statements of Comprehensive Loss</w:t>
              </w:r>
            </w:hyperlink>
          </w:p>
        </w:tc>
        <w:tc>
          <w:tcPr>
            <w:tcW w:w="280" w:type="dxa"/>
            <w:vAlign w:val="bottom"/>
            <w:gridSpan w:val="2"/>
          </w:tcPr>
          <w:p>
            <w:pPr>
              <w:jc w:val="right"/>
              <w:spacing w:after="0"/>
              <w:rPr>
                <w:rFonts w:ascii="Arial" w:cs="Arial" w:eastAsia="Arial" w:hAnsi="Arial"/>
                <w:sz w:val="18"/>
                <w:szCs w:val="18"/>
                <w:color w:val="0000FF"/>
              </w:rPr>
            </w:pPr>
            <w:hyperlink w:anchor="page103">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8"/>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Consolidated Statements of Stockholders’ Equity</w:t>
              </w:r>
            </w:hyperlink>
          </w:p>
        </w:tc>
        <w:tc>
          <w:tcPr>
            <w:tcW w:w="7500" w:type="dxa"/>
            <w:vAlign w:val="bottom"/>
            <w:gridSpan w:val="2"/>
          </w:tcPr>
          <w:p>
            <w:pPr>
              <w:spacing w:after="0"/>
              <w:rPr>
                <w:sz w:val="18"/>
                <w:szCs w:val="18"/>
                <w:color w:val="auto"/>
              </w:rPr>
            </w:pPr>
          </w:p>
        </w:tc>
        <w:tc>
          <w:tcPr>
            <w:tcW w:w="280" w:type="dxa"/>
            <w:vAlign w:val="bottom"/>
            <w:gridSpan w:val="2"/>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Consolidated Statements of Cash Flows</w:t>
              </w:r>
            </w:hyperlink>
          </w:p>
        </w:tc>
        <w:tc>
          <w:tcPr>
            <w:tcW w:w="680" w:type="dxa"/>
            <w:vAlign w:val="bottom"/>
            <w:gridSpan w:val="3"/>
          </w:tcPr>
          <w:p>
            <w:pPr>
              <w:spacing w:after="0"/>
              <w:rPr>
                <w:sz w:val="18"/>
                <w:szCs w:val="18"/>
                <w:color w:val="auto"/>
              </w:rPr>
            </w:pPr>
          </w:p>
        </w:tc>
        <w:tc>
          <w:tcPr>
            <w:tcW w:w="7500" w:type="dxa"/>
            <w:vAlign w:val="bottom"/>
            <w:gridSpan w:val="2"/>
          </w:tcPr>
          <w:p>
            <w:pPr>
              <w:spacing w:after="0"/>
              <w:rPr>
                <w:sz w:val="18"/>
                <w:szCs w:val="18"/>
                <w:color w:val="auto"/>
              </w:rPr>
            </w:pPr>
          </w:p>
        </w:tc>
        <w:tc>
          <w:tcPr>
            <w:tcW w:w="280" w:type="dxa"/>
            <w:vAlign w:val="bottom"/>
            <w:gridSpan w:val="2"/>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6"/>
          </w:tcPr>
          <w:p>
            <w:pPr>
              <w:spacing w:after="0"/>
              <w:rPr>
                <w:rFonts w:ascii="Arial" w:cs="Arial" w:eastAsia="Arial" w:hAnsi="Arial"/>
                <w:sz w:val="18"/>
                <w:szCs w:val="18"/>
                <w:color w:val="0000FF"/>
                <w:w w:val="89"/>
              </w:rPr>
            </w:pPr>
            <w:hyperlink w:anchor="page106">
              <w:r>
                <w:rPr>
                  <w:rFonts w:ascii="Arial" w:cs="Arial" w:eastAsia="Arial" w:hAnsi="Arial"/>
                  <w:sz w:val="18"/>
                  <w:szCs w:val="18"/>
                  <w:color w:val="0000FF"/>
                  <w:w w:val="89"/>
                </w:rPr>
                <w:t>Notes to Consolidated Financial Statements</w:t>
              </w:r>
            </w:hyperlink>
          </w:p>
        </w:tc>
        <w:tc>
          <w:tcPr>
            <w:tcW w:w="7900" w:type="dxa"/>
            <w:vAlign w:val="bottom"/>
            <w:gridSpan w:val="4"/>
          </w:tcPr>
          <w:p>
            <w:pPr>
              <w:spacing w:after="0"/>
              <w:rPr>
                <w:sz w:val="18"/>
                <w:szCs w:val="18"/>
                <w:color w:val="auto"/>
              </w:rPr>
            </w:pPr>
          </w:p>
        </w:tc>
        <w:tc>
          <w:tcPr>
            <w:tcW w:w="280" w:type="dxa"/>
            <w:vAlign w:val="bottom"/>
            <w:gridSpan w:val="2"/>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80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10800" w:type="dxa"/>
            <w:vAlign w:val="bottom"/>
            <w:gridSpan w:val="9"/>
          </w:tcPr>
          <w:p>
            <w:pPr>
              <w:ind w:left="80"/>
              <w:spacing w:after="0"/>
              <w:rPr>
                <w:sz w:val="20"/>
                <w:szCs w:val="20"/>
                <w:color w:val="auto"/>
              </w:rPr>
            </w:pPr>
            <w:r>
              <w:rPr>
                <w:rFonts w:ascii="Arial" w:cs="Arial" w:eastAsia="Arial" w:hAnsi="Arial"/>
                <w:sz w:val="18"/>
                <w:szCs w:val="18"/>
                <w:b w:val="1"/>
                <w:bCs w:val="1"/>
                <w:color w:val="auto"/>
              </w:rPr>
              <w:t>Financial Statement Schedules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0" w:type="dxa"/>
            <w:vAlign w:val="bottom"/>
            <w:gridSpan w:val="9"/>
          </w:tcPr>
          <w:p>
            <w:pPr>
              <w:ind w:left="540"/>
              <w:spacing w:after="0"/>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1080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47"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23495</wp:posOffset>
            </wp:positionV>
            <wp:extent cx="32327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p>
      <w:pPr>
        <w:spacing w:after="0" w:line="5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ind w:left="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343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10.2#</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10.5#</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10.6#</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10.7#</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4523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0" w:lineRule="exact"/>
        <w:rPr>
          <w:sz w:val="20"/>
          <w:szCs w:val="20"/>
          <w:color w:val="auto"/>
        </w:rPr>
      </w:pPr>
    </w:p>
    <w:p>
      <w:pPr>
        <w:ind w:right="660"/>
        <w:spacing w:after="0" w:line="235" w:lineRule="auto"/>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Restated Certificate of Incorporation of the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Registrant</w:t>
        </w:r>
      </w:hyperlink>
    </w:p>
    <w:p>
      <w:pPr>
        <w:spacing w:after="0" w:line="40" w:lineRule="exact"/>
        <w:rPr>
          <w:sz w:val="20"/>
          <w:szCs w:val="20"/>
          <w:color w:val="auto"/>
        </w:rPr>
      </w:pPr>
    </w:p>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Second Amended and Restated By-Laws</w:t>
        </w:r>
      </w:hyperlink>
    </w:p>
    <w:p>
      <w:pPr>
        <w:spacing w:after="0" w:line="23" w:lineRule="exact"/>
        <w:rPr>
          <w:sz w:val="20"/>
          <w:szCs w:val="20"/>
          <w:color w:val="auto"/>
        </w:rPr>
      </w:pPr>
    </w:p>
    <w:p>
      <w:pPr>
        <w:spacing w:after="0" w:line="234"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Specimen Stock Certificate evidencing the shares of</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common stock</w:t>
        </w:r>
      </w:hyperlink>
    </w:p>
    <w:p>
      <w:pPr>
        <w:spacing w:after="0" w:line="2" w:lineRule="exact"/>
        <w:rPr>
          <w:sz w:val="20"/>
          <w:szCs w:val="20"/>
          <w:color w:val="auto"/>
        </w:rPr>
      </w:pPr>
    </w:p>
    <w:p>
      <w:pPr>
        <w:ind w:right="380"/>
        <w:spacing w:after="0" w:line="290" w:lineRule="auto"/>
        <w:rPr>
          <w:rFonts w:ascii="Arial" w:cs="Arial" w:eastAsia="Arial" w:hAnsi="Arial"/>
          <w:sz w:val="15"/>
          <w:szCs w:val="15"/>
          <w:u w:val="single" w:color="auto"/>
          <w:color w:val="0000FF"/>
        </w:rPr>
      </w:pPr>
      <w:hyperlink r:id="rId114">
        <w:r>
          <w:rPr>
            <w:rFonts w:ascii="Arial" w:cs="Arial" w:eastAsia="Arial" w:hAnsi="Arial"/>
            <w:sz w:val="15"/>
            <w:szCs w:val="15"/>
            <w:u w:val="single" w:color="auto"/>
            <w:color w:val="0000FF"/>
          </w:rPr>
          <w:t>Second Amended and Restated Investor Rights</w:t>
        </w:r>
      </w:hyperlink>
      <w:r>
        <w:rPr>
          <w:rFonts w:ascii="Arial" w:cs="Arial" w:eastAsia="Arial" w:hAnsi="Arial"/>
          <w:sz w:val="15"/>
          <w:szCs w:val="15"/>
          <w:u w:val="single" w:color="auto"/>
          <w:color w:val="0000FF"/>
        </w:rPr>
        <w:t xml:space="preserve"> </w:t>
      </w:r>
      <w:hyperlink r:id="rId114">
        <w:r>
          <w:rPr>
            <w:rFonts w:ascii="Arial" w:cs="Arial" w:eastAsia="Arial" w:hAnsi="Arial"/>
            <w:sz w:val="15"/>
            <w:szCs w:val="15"/>
            <w:u w:val="single" w:color="auto"/>
            <w:color w:val="0000FF"/>
          </w:rPr>
          <w:t>Agreement dated as of November 16, 2011</w:t>
        </w:r>
      </w:hyperlink>
    </w:p>
    <w:p>
      <w:pPr>
        <w:spacing w:after="0" w:line="1" w:lineRule="exact"/>
        <w:rPr>
          <w:sz w:val="20"/>
          <w:szCs w:val="20"/>
          <w:color w:val="auto"/>
        </w:rPr>
      </w:pPr>
    </w:p>
    <w:p>
      <w:pPr>
        <w:ind w:right="80"/>
        <w:spacing w:after="0" w:line="290" w:lineRule="auto"/>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Description of Securities Registered Under Section</w:t>
        </w:r>
      </w:hyperlink>
      <w:r>
        <w:rPr>
          <w:rFonts w:ascii="Arial" w:cs="Arial" w:eastAsia="Arial" w:hAnsi="Arial"/>
          <w:sz w:val="16"/>
          <w:szCs w:val="16"/>
          <w:u w:val="single" w:color="auto"/>
          <w:color w:val="0000FF"/>
        </w:rPr>
        <w:t xml:space="preserve"> </w:t>
      </w:r>
      <w:hyperlink w:anchor="page136">
        <w:r>
          <w:rPr>
            <w:rFonts w:ascii="Arial" w:cs="Arial" w:eastAsia="Arial" w:hAnsi="Arial"/>
            <w:sz w:val="16"/>
            <w:szCs w:val="16"/>
            <w:u w:val="single" w:color="auto"/>
            <w:color w:val="0000FF"/>
          </w:rPr>
          <w:t>12 of the Securities Exchange Act of 1934</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2007 Stock Incentive Plan</w:t>
        </w:r>
      </w:hyperlink>
    </w:p>
    <w:p>
      <w:pPr>
        <w:spacing w:after="0" w:line="63"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Form of Incentive Stock Option Agreement under</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2007 Stock Incentive Plan</w:t>
        </w:r>
      </w:hyperlink>
    </w:p>
    <w:p>
      <w:pPr>
        <w:spacing w:after="0" w:line="1" w:lineRule="exact"/>
        <w:rPr>
          <w:sz w:val="20"/>
          <w:szCs w:val="20"/>
          <w:color w:val="auto"/>
        </w:rPr>
      </w:pPr>
    </w:p>
    <w:p>
      <w:pPr>
        <w:ind w:right="360"/>
        <w:spacing w:after="0" w:line="248" w:lineRule="auto"/>
        <w:rPr>
          <w:rFonts w:ascii="Arial" w:cs="Arial" w:eastAsia="Arial" w:hAnsi="Arial"/>
          <w:sz w:val="17"/>
          <w:szCs w:val="17"/>
          <w:u w:val="single" w:color="auto"/>
          <w:color w:val="0000FF"/>
        </w:rPr>
      </w:pPr>
      <w:hyperlink r:id="rId117">
        <w:r>
          <w:rPr>
            <w:rFonts w:ascii="Arial" w:cs="Arial" w:eastAsia="Arial" w:hAnsi="Arial"/>
            <w:sz w:val="17"/>
            <w:szCs w:val="17"/>
            <w:u w:val="single" w:color="auto"/>
            <w:color w:val="0000FF"/>
          </w:rPr>
          <w:t>Form of Nonstatutory Stock Option Agreement</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under 2007 Stock Incentive Plan</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2013 Stock Incentive Plan</w:t>
        </w:r>
      </w:hyperlink>
    </w:p>
    <w:p>
      <w:pPr>
        <w:spacing w:after="0" w:line="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Form of Incentive Stock Option Agreement under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2013 Stock Incentive Plan</w:t>
        </w:r>
      </w:hyperlink>
    </w:p>
    <w:p>
      <w:pPr>
        <w:spacing w:after="0" w:line="1" w:lineRule="exact"/>
        <w:rPr>
          <w:sz w:val="20"/>
          <w:szCs w:val="20"/>
          <w:color w:val="auto"/>
        </w:rPr>
      </w:pPr>
    </w:p>
    <w:p>
      <w:pPr>
        <w:ind w:right="360"/>
        <w:spacing w:after="0" w:line="248" w:lineRule="auto"/>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Form of Nonstatutory Stock Option Agreement</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under 2013 Stock Incentive Plan</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2013 Employee Stock Purchase Plan</w:t>
        </w:r>
      </w:hyperlink>
    </w:p>
    <w:p>
      <w:pPr>
        <w:spacing w:after="0" w:line="62" w:lineRule="exact"/>
        <w:rPr>
          <w:sz w:val="20"/>
          <w:szCs w:val="20"/>
          <w:color w:val="auto"/>
        </w:rPr>
      </w:pPr>
    </w:p>
    <w:p>
      <w:pPr>
        <w:ind w:right="440"/>
        <w:spacing w:after="0" w:line="289"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Letter Agreement, dated as of July 22, 2010,</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between the Registrant and Scott Biller, Ph.D.</w:t>
        </w:r>
      </w:hyperlink>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320" w:type="dxa"/>
            <w:vAlign w:val="bottom"/>
            <w:gridSpan w:val="2"/>
          </w:tcPr>
          <w:p>
            <w:pPr>
              <w:ind w:left="500"/>
              <w:spacing w:after="0"/>
              <w:rPr>
                <w:sz w:val="20"/>
                <w:szCs w:val="20"/>
                <w:color w:val="auto"/>
              </w:rPr>
            </w:pPr>
            <w:r>
              <w:rPr>
                <w:rFonts w:ascii="Arial" w:cs="Arial" w:eastAsia="Arial" w:hAnsi="Arial"/>
                <w:sz w:val="14"/>
                <w:szCs w:val="14"/>
                <w:b w:val="1"/>
                <w:bCs w:val="1"/>
                <w:color w:val="auto"/>
              </w:rPr>
              <w:t>File</w:t>
            </w:r>
          </w:p>
        </w:tc>
        <w:tc>
          <w:tcPr>
            <w:tcW w:w="19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8"/>
        </w:trPr>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38"/>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spacing w:after="0"/>
              <w:rPr>
                <w:sz w:val="20"/>
                <w:szCs w:val="20"/>
                <w:color w:val="auto"/>
              </w:rPr>
            </w:pPr>
            <w:r>
              <w:rPr>
                <w:rFonts w:ascii="Arial" w:cs="Arial" w:eastAsia="Arial" w:hAnsi="Arial"/>
                <w:sz w:val="18"/>
                <w:szCs w:val="18"/>
                <w:color w:val="auto"/>
              </w:rPr>
              <w:t>001-36014</w:t>
            </w:r>
          </w:p>
        </w:tc>
        <w:tc>
          <w:tcPr>
            <w:tcW w:w="100" w:type="dxa"/>
            <w:vAlign w:val="bottom"/>
          </w:tcPr>
          <w:p>
            <w:pPr>
              <w:spacing w:after="0"/>
              <w:rPr>
                <w:sz w:val="20"/>
                <w:szCs w:val="20"/>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July 30,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spacing w:after="0"/>
              <w:rPr>
                <w:sz w:val="20"/>
                <w:szCs w:val="20"/>
                <w:color w:val="auto"/>
              </w:rPr>
            </w:pPr>
            <w:r>
              <w:rPr>
                <w:rFonts w:ascii="Arial" w:cs="Arial" w:eastAsia="Arial" w:hAnsi="Arial"/>
                <w:sz w:val="18"/>
                <w:szCs w:val="18"/>
                <w:color w:val="auto"/>
              </w:rPr>
              <w:t>001-36014</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19, 2018</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24,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10,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10,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10,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10,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24,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24,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24,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24,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spacing w:after="0"/>
              <w:rPr>
                <w:sz w:val="20"/>
                <w:szCs w:val="20"/>
                <w:color w:val="auto"/>
              </w:rPr>
            </w:pPr>
            <w:r>
              <w:rPr>
                <w:rFonts w:ascii="Arial" w:cs="Arial" w:eastAsia="Arial" w:hAnsi="Arial"/>
                <w:sz w:val="18"/>
                <w:szCs w:val="18"/>
                <w:color w:val="auto"/>
              </w:rPr>
              <w:t>333-189216</w:t>
            </w:r>
          </w:p>
        </w:tc>
        <w:tc>
          <w:tcPr>
            <w:tcW w:w="100" w:type="dxa"/>
            <w:vAlign w:val="bottom"/>
          </w:tcPr>
          <w:p>
            <w:pPr>
              <w:spacing w:after="0"/>
              <w:rPr>
                <w:sz w:val="23"/>
                <w:szCs w:val="2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July 11, 2013</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sectPr>
          <w:pgSz w:w="11900" w:h="16838" w:orient="portrait"/>
          <w:cols w:equalWidth="0" w:num="3">
            <w:col w:w="760" w:space="380"/>
            <w:col w:w="3760" w:space="180"/>
            <w:col w:w="6280"/>
          </w:cols>
          <w:pgMar w:left="240" w:top="108" w:right="29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type w:val="continuous"/>
        </w:sectPr>
      </w:pPr>
    </w:p>
    <w:bookmarkStart w:id="94" w:name="page95"/>
    <w:bookmarkEnd w:id="9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1080"/>
          </w:cols>
          <w:pgMar w:left="240" w:top="12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35"/>
            <w:vMerge w:val="restart"/>
          </w:tcPr>
          <w:p>
            <w:pPr>
              <w:ind w:left="1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ind w:right="292"/>
              <w:spacing w:after="0" w:line="192" w:lineRule="exact"/>
              <w:rPr>
                <w:sz w:val="20"/>
                <w:szCs w:val="20"/>
                <w:color w:val="auto"/>
              </w:rPr>
            </w:pPr>
            <w:r>
              <w:rPr>
                <w:rFonts w:ascii="Arial" w:cs="Arial" w:eastAsia="Arial" w:hAnsi="Arial"/>
                <w:sz w:val="18"/>
                <w:szCs w:val="18"/>
                <w:color w:val="auto"/>
                <w:w w:val="85"/>
              </w:rPr>
              <w:t>10.9</w:t>
            </w:r>
          </w:p>
        </w:tc>
        <w:tc>
          <w:tcPr>
            <w:tcW w:w="3540" w:type="dxa"/>
            <w:vAlign w:val="bottom"/>
            <w:tcBorders>
              <w:bottom w:val="single" w:sz="8" w:color="0000FF"/>
            </w:tcBorders>
            <w:gridSpan w:val="24"/>
          </w:tcPr>
          <w:p>
            <w:pPr>
              <w:spacing w:after="0" w:line="172"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Form of Indemnification Agreement between the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40" w:type="dxa"/>
            <w:vAlign w:val="bottom"/>
            <w:gridSpan w:val="24"/>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Registrant and each of its Executive Officers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Directors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10.10#</w:t>
            </w:r>
          </w:p>
        </w:tc>
        <w:tc>
          <w:tcPr>
            <w:tcW w:w="32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Letter Agreement, dated as of April 1, 2014,</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w w:val="97"/>
              </w:rPr>
            </w:pPr>
            <w:hyperlink r:id="rId125">
              <w:r>
                <w:rPr>
                  <w:rFonts w:ascii="Arial" w:cs="Arial" w:eastAsia="Arial" w:hAnsi="Arial"/>
                  <w:sz w:val="18"/>
                  <w:szCs w:val="18"/>
                  <w:color w:val="0000FF"/>
                  <w:w w:val="97"/>
                </w:rPr>
                <w:t>between the Registrant and Christopher Bowden,</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Ph.D.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10.11†</w:t>
            </w:r>
          </w:p>
        </w:tc>
        <w:tc>
          <w:tcPr>
            <w:tcW w:w="3840" w:type="dxa"/>
            <w:vAlign w:val="bottom"/>
            <w:gridSpan w:val="39"/>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Discovery and Development Collaboration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License Agreement, dated as of April 14, 2010,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tcBorders>
              <w:bottom w:val="single" w:sz="8" w:color="0000FF"/>
            </w:tcBorders>
            <w:gridSpan w:val="8"/>
          </w:tcPr>
          <w:p>
            <w:pPr>
              <w:ind w:left="20"/>
              <w:spacing w:after="0" w:line="156" w:lineRule="exact"/>
              <w:rPr>
                <w:rFonts w:ascii="Arial" w:cs="Arial" w:eastAsia="Arial" w:hAnsi="Arial"/>
                <w:sz w:val="18"/>
                <w:szCs w:val="18"/>
                <w:color w:val="0000FF"/>
                <w:w w:val="83"/>
              </w:rPr>
            </w:pPr>
            <w:hyperlink r:id="rId126">
              <w:r>
                <w:rPr>
                  <w:rFonts w:ascii="Arial" w:cs="Arial" w:eastAsia="Arial" w:hAnsi="Arial"/>
                  <w:sz w:val="18"/>
                  <w:szCs w:val="18"/>
                  <w:color w:val="0000FF"/>
                  <w:w w:val="83"/>
                </w:rPr>
                <w:t>as</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amended on October 3, 2011, between the Registrant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and Celgene Corporation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10.12†</w:t>
            </w:r>
          </w:p>
        </w:tc>
        <w:tc>
          <w:tcPr>
            <w:tcW w:w="3840" w:type="dxa"/>
            <w:vAlign w:val="bottom"/>
            <w:gridSpan w:val="39"/>
          </w:tcPr>
          <w:p>
            <w:pPr>
              <w:spacing w:after="0" w:line="196" w:lineRule="exact"/>
              <w:rPr>
                <w:rFonts w:ascii="Arial" w:cs="Arial" w:eastAsia="Arial" w:hAnsi="Arial"/>
                <w:sz w:val="18"/>
                <w:szCs w:val="18"/>
                <w:color w:val="0000FF"/>
                <w:w w:val="97"/>
              </w:rPr>
            </w:pPr>
            <w:hyperlink r:id="rId127">
              <w:r>
                <w:rPr>
                  <w:rFonts w:ascii="Arial" w:cs="Arial" w:eastAsia="Arial" w:hAnsi="Arial"/>
                  <w:sz w:val="18"/>
                  <w:szCs w:val="18"/>
                  <w:color w:val="0000FF"/>
                  <w:w w:val="97"/>
                </w:rPr>
                <w:t>Third Amendment to Discovery and Development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Collaboration and License Agreement, dated</w:t>
              </w:r>
            </w:hyperlink>
          </w:p>
        </w:tc>
        <w:tc>
          <w:tcPr>
            <w:tcW w:w="4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July 14, 2014 between the Registrant and Celgene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Corporation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3"/>
              </w:rPr>
              <w:t>10.13</w:t>
            </w:r>
          </w:p>
        </w:tc>
        <w:tc>
          <w:tcPr>
            <w:tcW w:w="3840" w:type="dxa"/>
            <w:vAlign w:val="bottom"/>
            <w:gridSpan w:val="39"/>
          </w:tcPr>
          <w:p>
            <w:pPr>
              <w:spacing w:after="0" w:line="19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Common Stock Purchase Agreement, dated as of</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86"/>
              </w:rPr>
            </w:pPr>
            <w:hyperlink r:id="rId128">
              <w:r>
                <w:rPr>
                  <w:rFonts w:ascii="Arial" w:cs="Arial" w:eastAsia="Arial" w:hAnsi="Arial"/>
                  <w:sz w:val="18"/>
                  <w:szCs w:val="18"/>
                  <w:color w:val="0000FF"/>
                  <w:w w:val="86"/>
                </w:rPr>
                <w:t>July 16, 2013, between the Registrant and Celgene</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060" w:type="dxa"/>
            <w:vAlign w:val="bottom"/>
            <w:tcBorders>
              <w:bottom w:val="single" w:sz="8" w:color="0000FF"/>
            </w:tcBorders>
            <w:gridSpan w:val="7"/>
          </w:tcPr>
          <w:p>
            <w:pPr>
              <w:spacing w:after="0" w:line="15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Alpine Investment Co., LLC</w:t>
              </w:r>
            </w:hyperlink>
          </w:p>
        </w:tc>
        <w:tc>
          <w:tcPr>
            <w:tcW w:w="164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3"/>
              </w:rPr>
              <w:t>10.14</w:t>
            </w:r>
          </w:p>
        </w:tc>
        <w:tc>
          <w:tcPr>
            <w:tcW w:w="3840" w:type="dxa"/>
            <w:vAlign w:val="bottom"/>
            <w:gridSpan w:val="39"/>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Lease, dated as of September 15, 2014, between the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Registrant and Forest City 88 Sidney, LLC</w:t>
              </w:r>
            </w:hyperlink>
          </w:p>
        </w:tc>
        <w:tc>
          <w:tcPr>
            <w:tcW w:w="7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3"/>
              </w:rPr>
              <w:t>10.15</w:t>
            </w:r>
          </w:p>
        </w:tc>
        <w:tc>
          <w:tcPr>
            <w:tcW w:w="3840" w:type="dxa"/>
            <w:vAlign w:val="bottom"/>
            <w:gridSpan w:val="39"/>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First Amendment to Lease for 88 Sidney Street,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4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dated as of November 21, 2014, between the</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Registrant and Forest City 88 Sidney, LLC</w:t>
              </w:r>
            </w:hyperlink>
          </w:p>
        </w:tc>
        <w:tc>
          <w:tcPr>
            <w:tcW w:w="12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10.16#</w:t>
            </w:r>
          </w:p>
        </w:tc>
        <w:tc>
          <w:tcPr>
            <w:tcW w:w="3840" w:type="dxa"/>
            <w:vAlign w:val="bottom"/>
            <w:gridSpan w:val="39"/>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Summary Description of Annual Cash Incentive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Program</w:t>
              </w:r>
            </w:hyperlink>
          </w:p>
        </w:tc>
        <w:tc>
          <w:tcPr>
            <w:tcW w:w="2800" w:type="dxa"/>
            <w:vAlign w:val="bottom"/>
            <w:tcBorders>
              <w:top w:val="single" w:sz="8" w:color="0000FF"/>
            </w:tcBorders>
            <w:gridSpan w:val="20"/>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3"/>
              </w:rPr>
              <w:t>10.17</w:t>
            </w:r>
          </w:p>
        </w:tc>
        <w:tc>
          <w:tcPr>
            <w:tcW w:w="3840" w:type="dxa"/>
            <w:vAlign w:val="bottom"/>
            <w:gridSpan w:val="39"/>
          </w:tcPr>
          <w:p>
            <w:pPr>
              <w:spacing w:after="0" w:line="19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Second Amendment to Lease for 88 Sidney Street,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dated July 20, 2015, by and between the Registrant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740" w:type="dxa"/>
            <w:vAlign w:val="bottom"/>
            <w:gridSpan w:val="34"/>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and Forest City 88 Sidney Street,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10.18†</w:t>
            </w:r>
          </w:p>
        </w:tc>
        <w:tc>
          <w:tcPr>
            <w:tcW w:w="32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Collaboration and License Agreement by and</w:t>
              </w:r>
            </w:hyperlink>
          </w:p>
        </w:tc>
        <w:tc>
          <w:tcPr>
            <w:tcW w:w="56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between the Registrant and Celgene Corporation Re: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AGI-23088 for the US Territory, dated as of</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April 27, 2015</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10.19†</w:t>
            </w:r>
          </w:p>
        </w:tc>
        <w:tc>
          <w:tcPr>
            <w:tcW w:w="32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Collaboration and License Agreement by and</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80" w:type="dxa"/>
            <w:vAlign w:val="bottom"/>
            <w:gridSpan w:val="7"/>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280" w:type="dxa"/>
            <w:vAlign w:val="bottom"/>
            <w:tcBorders>
              <w:bottom w:val="single" w:sz="8" w:color="0000FF"/>
            </w:tcBorders>
            <w:gridSpan w:val="16"/>
          </w:tcPr>
          <w:p>
            <w:pPr>
              <w:spacing w:after="0" w:line="15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between Agios International Sarl and Celgene</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International II Sarl Re: AGI-23088 for the ROW</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Territory, dated as of April 27, 2015</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10.20#</w:t>
            </w:r>
          </w:p>
        </w:tc>
        <w:tc>
          <w:tcPr>
            <w:tcW w:w="372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Form of Performance Share Unit Agreement under</w:t>
              </w:r>
            </w:hyperlink>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720" w:type="dxa"/>
            <w:vAlign w:val="bottom"/>
            <w:gridSpan w:val="33"/>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2013 Stock Incentive Plan</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10.21#</w:t>
            </w:r>
          </w:p>
        </w:tc>
        <w:tc>
          <w:tcPr>
            <w:tcW w:w="1880" w:type="dxa"/>
            <w:vAlign w:val="bottom"/>
            <w:tcBorders>
              <w:top w:val="single" w:sz="8" w:color="0000FF"/>
            </w:tcBorders>
            <w:gridSpan w:val="6"/>
          </w:tcPr>
          <w:p>
            <w:pPr>
              <w:spacing w:after="0" w:line="19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Severance Benefits Plan</w:t>
              </w:r>
            </w:hyperlink>
          </w:p>
        </w:tc>
        <w:tc>
          <w:tcPr>
            <w:tcW w:w="1960" w:type="dxa"/>
            <w:vAlign w:val="bottom"/>
            <w:gridSpan w:val="3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10.22†</w:t>
            </w:r>
          </w:p>
        </w:tc>
        <w:tc>
          <w:tcPr>
            <w:tcW w:w="3420" w:type="dxa"/>
            <w:vAlign w:val="bottom"/>
            <w:tcBorders>
              <w:bottom w:val="single" w:sz="8" w:color="0000FF"/>
            </w:tcBorders>
            <w:gridSpan w:val="20"/>
          </w:tcPr>
          <w:p>
            <w:pPr>
              <w:spacing w:after="0"/>
              <w:rPr>
                <w:rFonts w:ascii="Arial" w:cs="Arial" w:eastAsia="Arial" w:hAnsi="Arial"/>
                <w:sz w:val="18"/>
                <w:szCs w:val="18"/>
                <w:color w:val="0000FF"/>
                <w:w w:val="89"/>
              </w:rPr>
            </w:pPr>
            <w:hyperlink r:id="rId137">
              <w:r>
                <w:rPr>
                  <w:rFonts w:ascii="Arial" w:cs="Arial" w:eastAsia="Arial" w:hAnsi="Arial"/>
                  <w:sz w:val="18"/>
                  <w:szCs w:val="18"/>
                  <w:color w:val="0000FF"/>
                  <w:w w:val="89"/>
                </w:rPr>
                <w:t>Master Research and Collaboration Agreement,</w:t>
              </w:r>
            </w:hyperlink>
          </w:p>
        </w:tc>
        <w:tc>
          <w:tcPr>
            <w:tcW w:w="240" w:type="dxa"/>
            <w:vAlign w:val="bottom"/>
            <w:gridSpan w:val="10"/>
          </w:tcPr>
          <w:p>
            <w:pPr>
              <w:spacing w:after="0"/>
              <w:rPr>
                <w:sz w:val="21"/>
                <w:szCs w:val="21"/>
                <w:color w:val="auto"/>
              </w:rPr>
            </w:pPr>
          </w:p>
        </w:tc>
        <w:tc>
          <w:tcPr>
            <w:tcW w:w="100" w:type="dxa"/>
            <w:vAlign w:val="bottom"/>
            <w:gridSpan w:val="5"/>
          </w:tcPr>
          <w:p>
            <w:pPr>
              <w:spacing w:after="0"/>
              <w:rPr>
                <w:sz w:val="21"/>
                <w:szCs w:val="21"/>
                <w:color w:val="auto"/>
              </w:rPr>
            </w:pPr>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840" w:type="dxa"/>
            <w:vAlign w:val="bottom"/>
            <w:gridSpan w:val="39"/>
          </w:tcPr>
          <w:p>
            <w:pPr>
              <w:spacing w:after="0" w:line="156" w:lineRule="exact"/>
              <w:rPr>
                <w:rFonts w:ascii="Arial" w:cs="Arial" w:eastAsia="Arial" w:hAnsi="Arial"/>
                <w:sz w:val="18"/>
                <w:szCs w:val="18"/>
                <w:color w:val="0000FF"/>
                <w:w w:val="94"/>
              </w:rPr>
            </w:pPr>
            <w:hyperlink r:id="rId137">
              <w:r>
                <w:rPr>
                  <w:rFonts w:ascii="Arial" w:cs="Arial" w:eastAsia="Arial" w:hAnsi="Arial"/>
                  <w:sz w:val="18"/>
                  <w:szCs w:val="18"/>
                  <w:color w:val="0000FF"/>
                  <w:w w:val="94"/>
                </w:rPr>
                <w:t>dated May 17, 2016, by and among the Registrant,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Celgene Corporation and Celgene RIVOT Ltd.</w:t>
              </w:r>
            </w:hyperlink>
          </w:p>
        </w:tc>
        <w:tc>
          <w:tcPr>
            <w:tcW w:w="28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10.23#</w:t>
            </w:r>
          </w:p>
        </w:tc>
        <w:tc>
          <w:tcPr>
            <w:tcW w:w="3840" w:type="dxa"/>
            <w:vAlign w:val="bottom"/>
            <w:gridSpan w:val="39"/>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Letter Agreement between the Registrant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260" w:type="dxa"/>
            <w:vAlign w:val="bottom"/>
            <w:tcBorders>
              <w:top w:val="single" w:sz="8" w:color="0000FF"/>
            </w:tcBorders>
            <w:gridSpan w:val="15"/>
          </w:tcPr>
          <w:p>
            <w:pPr>
              <w:spacing w:after="0" w:line="156" w:lineRule="exact"/>
              <w:rPr>
                <w:rFonts w:ascii="Arial" w:cs="Arial" w:eastAsia="Arial" w:hAnsi="Arial"/>
                <w:sz w:val="18"/>
                <w:szCs w:val="18"/>
                <w:color w:val="0000FF"/>
                <w:w w:val="98"/>
              </w:rPr>
            </w:pPr>
            <w:hyperlink r:id="rId138">
              <w:r>
                <w:rPr>
                  <w:rFonts w:ascii="Arial" w:cs="Arial" w:eastAsia="Arial" w:hAnsi="Arial"/>
                  <w:sz w:val="18"/>
                  <w:szCs w:val="18"/>
                  <w:color w:val="0000FF"/>
                  <w:w w:val="98"/>
                </w:rPr>
                <w:t>Andrew Hirsch, effective August 11, 2016</w:t>
              </w:r>
            </w:hyperlink>
          </w:p>
        </w:tc>
        <w:tc>
          <w:tcPr>
            <w:tcW w:w="500" w:type="dxa"/>
            <w:vAlign w:val="bottom"/>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Borders>
              <w:right w:val="single" w:sz="8" w:color="0000FF"/>
            </w:tcBorders>
            <w:gridSpan w:val="10"/>
            <w:shd w:val="clear" w:color="auto" w:fill="0000FF"/>
          </w:tcPr>
          <w:p>
            <w:pPr>
              <w:spacing w:after="0" w:line="20" w:lineRule="exact"/>
              <w:rPr>
                <w:sz w:val="1"/>
                <w:szCs w:val="1"/>
                <w:color w:val="auto"/>
              </w:rPr>
            </w:pPr>
          </w:p>
        </w:tc>
        <w:tc>
          <w:tcPr>
            <w:tcW w:w="720" w:type="dxa"/>
            <w:vAlign w:val="bottom"/>
            <w:gridSpan w:val="2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3"/>
              </w:rPr>
              <w:t>10.24</w:t>
            </w:r>
          </w:p>
        </w:tc>
        <w:tc>
          <w:tcPr>
            <w:tcW w:w="3760" w:type="dxa"/>
            <w:vAlign w:val="bottom"/>
            <w:tcBorders>
              <w:bottom w:val="single" w:sz="8" w:color="0000FF"/>
            </w:tcBorders>
            <w:gridSpan w:val="35"/>
          </w:tcPr>
          <w:p>
            <w:pPr>
              <w:spacing w:after="0" w:line="196" w:lineRule="exact"/>
              <w:rPr>
                <w:rFonts w:ascii="Arial" w:cs="Arial" w:eastAsia="Arial" w:hAnsi="Arial"/>
                <w:sz w:val="18"/>
                <w:szCs w:val="18"/>
                <w:color w:val="0000FF"/>
                <w:w w:val="89"/>
              </w:rPr>
            </w:pPr>
            <w:hyperlink r:id="rId139">
              <w:r>
                <w:rPr>
                  <w:rFonts w:ascii="Arial" w:cs="Arial" w:eastAsia="Arial" w:hAnsi="Arial"/>
                  <w:sz w:val="18"/>
                  <w:szCs w:val="18"/>
                  <w:color w:val="0000FF"/>
                  <w:w w:val="89"/>
                </w:rPr>
                <w:t>Lease, dated as of November 17, 2017, between the</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40" w:type="dxa"/>
            <w:vAlign w:val="bottom"/>
            <w:tcBorders>
              <w:bottom w:val="single" w:sz="8" w:color="0000FF"/>
            </w:tcBorders>
            <w:gridSpan w:val="10"/>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Registrant and UP 64 Sidney Street, LLC</w:t>
              </w:r>
            </w:hyperlink>
          </w:p>
        </w:tc>
        <w:tc>
          <w:tcPr>
            <w:tcW w:w="720" w:type="dxa"/>
            <w:vAlign w:val="bottom"/>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23495</wp:posOffset>
            </wp:positionV>
            <wp:extent cx="32327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jc w:val="center"/>
              <w:ind w:right="291"/>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jc w:val="right"/>
              <w:ind w:right="672"/>
              <w:spacing w:after="0"/>
              <w:rPr>
                <w:sz w:val="20"/>
                <w:szCs w:val="20"/>
                <w:color w:val="auto"/>
              </w:rPr>
            </w:pPr>
            <w:r>
              <w:rPr>
                <w:rFonts w:ascii="Arial" w:cs="Arial" w:eastAsia="Arial" w:hAnsi="Arial"/>
                <w:sz w:val="14"/>
                <w:szCs w:val="14"/>
                <w:b w:val="1"/>
                <w:bCs w:val="1"/>
                <w:color w:val="auto"/>
              </w:rPr>
              <w:t>File</w:t>
            </w:r>
          </w:p>
        </w:tc>
        <w:tc>
          <w:tcPr>
            <w:tcW w:w="19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Date of Filing</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6"/>
        </w:trPr>
        <w:tc>
          <w:tcPr>
            <w:tcW w:w="760" w:type="dxa"/>
            <w:vAlign w:val="bottom"/>
            <w:vMerge w:val="continue"/>
          </w:tcPr>
          <w:p>
            <w:pPr>
              <w:spacing w:after="0"/>
              <w:rPr>
                <w:sz w:val="16"/>
                <w:szCs w:val="16"/>
                <w:color w:val="auto"/>
              </w:rPr>
            </w:pP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Number</w:t>
            </w:r>
          </w:p>
        </w:tc>
        <w:tc>
          <w:tcPr>
            <w:tcW w:w="1900" w:type="dxa"/>
            <w:vAlign w:val="bottom"/>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46"/>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333-189216</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July 11, 2013</w:t>
            </w:r>
          </w:p>
        </w:tc>
        <w:tc>
          <w:tcPr>
            <w:tcW w:w="74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February 26, 2016</w:t>
            </w: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333-189216</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July 16, 2013</w:t>
            </w:r>
          </w:p>
        </w:tc>
        <w:tc>
          <w:tcPr>
            <w:tcW w:w="740" w:type="dxa"/>
            <w:vAlign w:val="bottom"/>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756"/>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February 24, 2015</w:t>
            </w:r>
          </w:p>
        </w:tc>
        <w:tc>
          <w:tcPr>
            <w:tcW w:w="74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756"/>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333-189216</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July 16, 2013</w:t>
            </w:r>
          </w:p>
        </w:tc>
        <w:tc>
          <w:tcPr>
            <w:tcW w:w="74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September 19,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05"/>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November 26,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May 11, 2015</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05"/>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July 23, 2015</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August 7, 2015</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756"/>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August 7, 2015</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56"/>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February 26, 2016</w:t>
            </w:r>
          </w:p>
        </w:tc>
        <w:tc>
          <w:tcPr>
            <w:tcW w:w="74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405"/>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April 22, 2016</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August 8, 2016</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81"/>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August 16, 2016</w:t>
            </w:r>
          </w:p>
        </w:tc>
        <w:tc>
          <w:tcPr>
            <w:tcW w:w="74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05"/>
        </w:trPr>
        <w:tc>
          <w:tcPr>
            <w:tcW w:w="760" w:type="dxa"/>
            <w:vAlign w:val="bottom"/>
          </w:tcPr>
          <w:p>
            <w:pPr>
              <w:jc w:val="center"/>
              <w:ind w:right="311"/>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November 22, 2017</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040"/>
        </w:trPr>
        <w:tc>
          <w:tcPr>
            <w:tcW w:w="760" w:type="dxa"/>
            <w:vAlign w:val="bottom"/>
          </w:tcPr>
          <w:p>
            <w:pPr>
              <w:jc w:val="right"/>
              <w:ind w:right="131"/>
              <w:spacing w:after="0"/>
              <w:rPr>
                <w:sz w:val="20"/>
                <w:szCs w:val="20"/>
                <w:color w:val="auto"/>
              </w:rPr>
            </w:pPr>
            <w:r>
              <w:rPr>
                <w:rFonts w:ascii="Arial" w:cs="Arial" w:eastAsia="Arial" w:hAnsi="Arial"/>
                <w:sz w:val="18"/>
                <w:szCs w:val="18"/>
                <w:color w:val="auto"/>
              </w:rPr>
              <w:t>93</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55880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3"/>
          <w:szCs w:val="13"/>
          <w:b w:val="1"/>
          <w:bCs w:val="1"/>
          <w:color w:val="auto"/>
        </w:rPr>
        <w:t>Herewith</w:t>
      </w:r>
    </w:p>
    <w:p>
      <w:pPr>
        <w:sectPr>
          <w:pgSz w:w="11900" w:h="16838" w:orient="portrait"/>
          <w:cols w:equalWidth="0" w:num="3">
            <w:col w:w="4960" w:space="300"/>
            <w:col w:w="4760" w:space="480"/>
            <w:col w:w="580"/>
          </w:cols>
          <w:pgMar w:left="240" w:top="121" w:right="579" w:bottom="1440" w:gutter="0" w:footer="0" w:header="0"/>
          <w:type w:val="continuous"/>
        </w:sectPr>
      </w:pPr>
    </w:p>
    <w:bookmarkStart w:id="95" w:name="page96"/>
    <w:bookmarkEnd w:id="9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1260"/>
          </w:cols>
          <w:pgMar w:left="24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31"/>
            <w:vMerge w:val="restart"/>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Pr>
          <w:p>
            <w:pPr>
              <w:jc w:val="center"/>
              <w:ind w:right="292"/>
              <w:spacing w:after="0" w:line="172" w:lineRule="exact"/>
              <w:rPr>
                <w:sz w:val="20"/>
                <w:szCs w:val="20"/>
                <w:color w:val="auto"/>
              </w:rPr>
            </w:pPr>
            <w:r>
              <w:rPr>
                <w:rFonts w:ascii="Arial" w:cs="Arial" w:eastAsia="Arial" w:hAnsi="Arial"/>
                <w:sz w:val="18"/>
                <w:szCs w:val="18"/>
                <w:color w:val="auto"/>
                <w:w w:val="93"/>
              </w:rPr>
              <w:t>10.25</w:t>
            </w:r>
          </w:p>
        </w:tc>
        <w:tc>
          <w:tcPr>
            <w:tcW w:w="3800" w:type="dxa"/>
            <w:vAlign w:val="bottom"/>
            <w:gridSpan w:val="34"/>
          </w:tcPr>
          <w:p>
            <w:pPr>
              <w:spacing w:after="0" w:line="172" w:lineRule="exact"/>
              <w:rPr>
                <w:rFonts w:ascii="Arial" w:cs="Arial" w:eastAsia="Arial" w:hAnsi="Arial"/>
                <w:sz w:val="18"/>
                <w:szCs w:val="18"/>
                <w:color w:val="0000FF"/>
                <w:w w:val="97"/>
              </w:rPr>
            </w:pPr>
            <w:hyperlink r:id="rId142">
              <w:r>
                <w:rPr>
                  <w:rFonts w:ascii="Arial" w:cs="Arial" w:eastAsia="Arial" w:hAnsi="Arial"/>
                  <w:sz w:val="18"/>
                  <w:szCs w:val="18"/>
                  <w:color w:val="0000FF"/>
                  <w:w w:val="97"/>
                </w:rPr>
                <w:t>Third Amendment to Lease for 88 Sidney Street,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4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dated November 17, 2017, by and between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3600" w:type="dxa"/>
            <w:vAlign w:val="bottom"/>
            <w:tcBorders>
              <w:bottom w:val="single" w:sz="8" w:color="0000FF"/>
            </w:tcBorders>
            <w:gridSpan w:val="26"/>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Registrant and Forest City 88 Sidney Street, LLC</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3"/>
              </w:rPr>
              <w:t>10.26</w:t>
            </w:r>
          </w:p>
        </w:tc>
        <w:tc>
          <w:tcPr>
            <w:tcW w:w="3800" w:type="dxa"/>
            <w:vAlign w:val="bottom"/>
            <w:gridSpan w:val="34"/>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First Amendment of Lease, dated April 11, 2018, by</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76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and between UP 64 Sidney Street, LLC and Agios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Pharmaceuticals. Inc.</w:t>
              </w:r>
            </w:hyperlink>
          </w:p>
        </w:tc>
        <w:tc>
          <w:tcPr>
            <w:tcW w:w="20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10.27#</w:t>
            </w:r>
          </w:p>
        </w:tc>
        <w:tc>
          <w:tcPr>
            <w:tcW w:w="3800" w:type="dxa"/>
            <w:vAlign w:val="bottom"/>
            <w:gridSpan w:val="34"/>
          </w:tcPr>
          <w:p>
            <w:pPr>
              <w:spacing w:after="0" w:line="196"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Form of Restricted Stock Unit Agreement under</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2013 Stock Incentive Plan (for employees)</w:t>
              </w:r>
            </w:hyperlink>
          </w:p>
        </w:tc>
        <w:tc>
          <w:tcPr>
            <w:tcW w:w="4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10.28†</w:t>
            </w:r>
          </w:p>
        </w:tc>
        <w:tc>
          <w:tcPr>
            <w:tcW w:w="3800" w:type="dxa"/>
            <w:vAlign w:val="bottom"/>
            <w:gridSpan w:val="34"/>
          </w:tcPr>
          <w:p>
            <w:pPr>
              <w:spacing w:after="0" w:line="196" w:lineRule="exact"/>
              <w:rPr>
                <w:rFonts w:ascii="Arial" w:cs="Arial" w:eastAsia="Arial" w:hAnsi="Arial"/>
                <w:sz w:val="18"/>
                <w:szCs w:val="18"/>
                <w:color w:val="0000FF"/>
                <w:w w:val="96"/>
              </w:rPr>
            </w:pPr>
            <w:hyperlink r:id="rId145">
              <w:r>
                <w:rPr>
                  <w:rFonts w:ascii="Arial" w:cs="Arial" w:eastAsia="Arial" w:hAnsi="Arial"/>
                  <w:sz w:val="18"/>
                  <w:szCs w:val="18"/>
                  <w:color w:val="0000FF"/>
                  <w:w w:val="96"/>
                </w:rPr>
                <w:t>License Agreement, dated June 25, 2018, by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8"/>
              </w:rPr>
            </w:pPr>
            <w:hyperlink r:id="rId145">
              <w:r>
                <w:rPr>
                  <w:rFonts w:ascii="Arial" w:cs="Arial" w:eastAsia="Arial" w:hAnsi="Arial"/>
                  <w:sz w:val="18"/>
                  <w:szCs w:val="18"/>
                  <w:color w:val="0000FF"/>
                  <w:w w:val="88"/>
                </w:rPr>
                <w:t>between Agios Pharmaceuticals, Inc. and CStone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180" w:type="dxa"/>
            <w:vAlign w:val="bottom"/>
            <w:tcBorders>
              <w:bottom w:val="single" w:sz="8" w:color="0000FF"/>
            </w:tcBorders>
            <w:gridSpan w:val="3"/>
          </w:tcPr>
          <w:p>
            <w:pPr>
              <w:spacing w:after="0" w:line="156" w:lineRule="exact"/>
              <w:rPr>
                <w:rFonts w:ascii="Arial" w:cs="Arial" w:eastAsia="Arial" w:hAnsi="Arial"/>
                <w:sz w:val="18"/>
                <w:szCs w:val="18"/>
                <w:color w:val="0000FF"/>
                <w:w w:val="87"/>
              </w:rPr>
            </w:pPr>
            <w:hyperlink r:id="rId145">
              <w:r>
                <w:rPr>
                  <w:rFonts w:ascii="Arial" w:cs="Arial" w:eastAsia="Arial" w:hAnsi="Arial"/>
                  <w:sz w:val="18"/>
                  <w:szCs w:val="18"/>
                  <w:color w:val="0000FF"/>
                  <w:w w:val="87"/>
                </w:rPr>
                <w:t>Pharmaceuticals</w:t>
              </w:r>
            </w:hyperlink>
          </w:p>
        </w:tc>
        <w:tc>
          <w:tcPr>
            <w:tcW w:w="23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10.29#</w:t>
            </w:r>
          </w:p>
        </w:tc>
        <w:tc>
          <w:tcPr>
            <w:tcW w:w="3800" w:type="dxa"/>
            <w:vAlign w:val="bottom"/>
            <w:gridSpan w:val="34"/>
          </w:tcPr>
          <w:p>
            <w:pPr>
              <w:spacing w:after="0" w:line="19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Amended and Restated Letter Agreement, dated as</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6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of August 30, 2018, between the Registrant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David P. Schenkein, M.D.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0"/>
              </w:rPr>
              <w:t>10.30#</w:t>
            </w:r>
          </w:p>
        </w:tc>
        <w:tc>
          <w:tcPr>
            <w:tcW w:w="3800" w:type="dxa"/>
            <w:vAlign w:val="bottom"/>
            <w:gridSpan w:val="34"/>
          </w:tcPr>
          <w:p>
            <w:pPr>
              <w:spacing w:after="0" w:line="196" w:lineRule="exact"/>
              <w:rPr>
                <w:rFonts w:ascii="Arial" w:cs="Arial" w:eastAsia="Arial" w:hAnsi="Arial"/>
                <w:sz w:val="18"/>
                <w:szCs w:val="18"/>
                <w:color w:val="0000FF"/>
                <w:w w:val="99"/>
              </w:rPr>
            </w:pPr>
            <w:hyperlink r:id="rId147">
              <w:r>
                <w:rPr>
                  <w:rFonts w:ascii="Arial" w:cs="Arial" w:eastAsia="Arial" w:hAnsi="Arial"/>
                  <w:sz w:val="18"/>
                  <w:szCs w:val="18"/>
                  <w:color w:val="0000FF"/>
                  <w:w w:val="99"/>
                </w:rPr>
                <w:t>Letter Agreement, dated as of August 30, 2018,</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7"/>
              </w:rPr>
            </w:pPr>
            <w:hyperlink r:id="rId147">
              <w:r>
                <w:rPr>
                  <w:rFonts w:ascii="Arial" w:cs="Arial" w:eastAsia="Arial" w:hAnsi="Arial"/>
                  <w:sz w:val="18"/>
                  <w:szCs w:val="18"/>
                  <w:color w:val="0000FF"/>
                  <w:w w:val="87"/>
                </w:rPr>
                <w:t>between the Registrant and Jacqualyn A. Fouse,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60" w:type="dxa"/>
            <w:vAlign w:val="bottom"/>
            <w:gridSpan w:val="19"/>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Ph.D.</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10.31#</w:t>
            </w:r>
          </w:p>
        </w:tc>
        <w:tc>
          <w:tcPr>
            <w:tcW w:w="34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Form of Restricted Stock Unit Agreement under</w:t>
              </w:r>
            </w:hyperlink>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94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2013 Stock Incentive Plan (for directors)</w:t>
              </w:r>
            </w:hyperlink>
          </w:p>
        </w:tc>
        <w:tc>
          <w:tcPr>
            <w:tcW w:w="54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3"/>
              </w:rPr>
              <w:t>10.32</w:t>
            </w:r>
          </w:p>
        </w:tc>
        <w:tc>
          <w:tcPr>
            <w:tcW w:w="3800" w:type="dxa"/>
            <w:vAlign w:val="bottom"/>
            <w:gridSpan w:val="34"/>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Lease, dated as of April 11, 2019, by and between</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6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the Registrant and Thirty-Eight Sidney Street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Limited LLC</w:t>
              </w:r>
            </w:hyperlink>
          </w:p>
        </w:tc>
        <w:tc>
          <w:tcPr>
            <w:tcW w:w="24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3"/>
              </w:rPr>
              <w:t>10.33</w:t>
            </w:r>
          </w:p>
        </w:tc>
        <w:tc>
          <w:tcPr>
            <w:tcW w:w="3620" w:type="dxa"/>
            <w:vAlign w:val="bottom"/>
            <w:tcBorders>
              <w:bottom w:val="single" w:sz="8" w:color="0000FF"/>
            </w:tcBorders>
            <w:gridSpan w:val="27"/>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Fourth Amendment to Lease, dated as of April 11,</w:t>
              </w:r>
            </w:hyperlink>
          </w:p>
        </w:tc>
        <w:tc>
          <w:tcPr>
            <w:tcW w:w="1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800" w:type="dxa"/>
            <w:vAlign w:val="bottom"/>
            <w:gridSpan w:val="34"/>
          </w:tcPr>
          <w:p>
            <w:pPr>
              <w:spacing w:after="0" w:line="182"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2019, by and between the Registrant and Forest City</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88 Sidney Street, LLC</w:t>
              </w:r>
            </w:hyperlink>
          </w:p>
        </w:tc>
        <w:tc>
          <w:tcPr>
            <w:tcW w:w="216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3"/>
              </w:rPr>
              <w:t>10.34</w:t>
            </w:r>
          </w:p>
        </w:tc>
        <w:tc>
          <w:tcPr>
            <w:tcW w:w="3800" w:type="dxa"/>
            <w:vAlign w:val="bottom"/>
            <w:gridSpan w:val="34"/>
          </w:tcPr>
          <w:p>
            <w:pPr>
              <w:spacing w:after="0"/>
              <w:rPr>
                <w:rFonts w:ascii="Arial" w:cs="Arial" w:eastAsia="Arial" w:hAnsi="Arial"/>
                <w:sz w:val="18"/>
                <w:szCs w:val="18"/>
                <w:color w:val="0000FF"/>
                <w:w w:val="97"/>
              </w:rPr>
            </w:pPr>
            <w:hyperlink r:id="rId151">
              <w:r>
                <w:rPr>
                  <w:rFonts w:ascii="Arial" w:cs="Arial" w:eastAsia="Arial" w:hAnsi="Arial"/>
                  <w:sz w:val="18"/>
                  <w:szCs w:val="18"/>
                  <w:color w:val="0000FF"/>
                  <w:w w:val="97"/>
                </w:rPr>
                <w:t>Third Amendment of Lease, dated as of April 11,</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580" w:type="dxa"/>
            <w:vAlign w:val="bottom"/>
            <w:tcBorders>
              <w:top w:val="single" w:sz="8" w:color="0000FF"/>
            </w:tcBorders>
            <w:gridSpan w:val="25"/>
          </w:tcPr>
          <w:p>
            <w:pPr>
              <w:spacing w:after="0" w:line="182"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2019, by and between the Registrant and UP 64</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4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Sidney Street, LLC</w:t>
              </w:r>
            </w:hyperlink>
          </w:p>
        </w:tc>
        <w:tc>
          <w:tcPr>
            <w:tcW w:w="6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0"/>
              </w:rPr>
              <w:t>10.35#</w:t>
            </w:r>
          </w:p>
        </w:tc>
        <w:tc>
          <w:tcPr>
            <w:tcW w:w="3800" w:type="dxa"/>
            <w:vAlign w:val="bottom"/>
            <w:gridSpan w:val="34"/>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Letter Agreement, dated as of September 17, 2019,</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6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w:anchor="page138">
              <w:r>
                <w:rPr>
                  <w:rFonts w:ascii="Arial" w:cs="Arial" w:eastAsia="Arial" w:hAnsi="Arial"/>
                  <w:sz w:val="18"/>
                  <w:szCs w:val="18"/>
                  <w:color w:val="0000FF"/>
                </w:rPr>
                <w:t>between the Registrant and Jonathan Biller</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85"/>
              </w:rPr>
              <w:t>21.1</w:t>
            </w:r>
          </w:p>
        </w:tc>
        <w:tc>
          <w:tcPr>
            <w:tcW w:w="21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141">
              <w:r>
                <w:rPr>
                  <w:rFonts w:ascii="Arial" w:cs="Arial" w:eastAsia="Arial" w:hAnsi="Arial"/>
                  <w:sz w:val="18"/>
                  <w:szCs w:val="18"/>
                  <w:color w:val="0000FF"/>
                  <w:w w:val="89"/>
                </w:rPr>
                <w:t>Subsidiaries of the Registrant</w:t>
              </w:r>
            </w:hyperlink>
          </w:p>
        </w:tc>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7"/>
          </w:tcPr>
          <w:p>
            <w:pPr>
              <w:spacing w:after="0"/>
              <w:rPr>
                <w:sz w:val="19"/>
                <w:szCs w:val="19"/>
                <w:color w:val="auto"/>
              </w:rPr>
            </w:pPr>
          </w:p>
        </w:tc>
        <w:tc>
          <w:tcPr>
            <w:tcW w:w="140" w:type="dxa"/>
            <w:vAlign w:val="bottom"/>
            <w:gridSpan w:val="7"/>
          </w:tcPr>
          <w:p>
            <w:pPr>
              <w:spacing w:after="0"/>
              <w:rPr>
                <w:sz w:val="19"/>
                <w:szCs w:val="19"/>
                <w:color w:val="auto"/>
              </w:rPr>
            </w:pPr>
          </w:p>
        </w:tc>
        <w:tc>
          <w:tcPr>
            <w:tcW w:w="60" w:type="dxa"/>
            <w:vAlign w:val="bottom"/>
            <w:gridSpan w:val="3"/>
          </w:tcPr>
          <w:p>
            <w:pPr>
              <w:spacing w:after="0"/>
              <w:rPr>
                <w:sz w:val="19"/>
                <w:szCs w:val="19"/>
                <w:color w:val="auto"/>
              </w:rPr>
            </w:pPr>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85"/>
              </w:rPr>
              <w:t>23.1</w:t>
            </w:r>
          </w:p>
        </w:tc>
        <w:tc>
          <w:tcPr>
            <w:tcW w:w="3800" w:type="dxa"/>
            <w:vAlign w:val="bottom"/>
            <w:gridSpan w:val="34"/>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Consent of PricewaterhouseCoopers LLP, an</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4"/>
              </w:rPr>
            </w:pPr>
            <w:hyperlink w:anchor="page142">
              <w:r>
                <w:rPr>
                  <w:rFonts w:ascii="Arial" w:cs="Arial" w:eastAsia="Arial" w:hAnsi="Arial"/>
                  <w:sz w:val="18"/>
                  <w:szCs w:val="18"/>
                  <w:color w:val="0000FF"/>
                  <w:w w:val="94"/>
                </w:rPr>
                <w:t>Independent Registered Public Accounting</w:t>
              </w:r>
            </w:hyperlink>
          </w:p>
        </w:tc>
        <w:tc>
          <w:tcPr>
            <w:tcW w:w="280" w:type="dxa"/>
            <w:vAlign w:val="bottom"/>
            <w:tcBorders>
              <w:bottom w:val="single" w:sz="8" w:color="0000FF"/>
            </w:tcBorders>
            <w:gridSpan w:val="8"/>
          </w:tcPr>
          <w:p>
            <w:pPr>
              <w:spacing w:after="0" w:line="182" w:lineRule="exact"/>
              <w:rPr>
                <w:rFonts w:ascii="Arial" w:cs="Arial" w:eastAsia="Arial" w:hAnsi="Arial"/>
                <w:sz w:val="18"/>
                <w:szCs w:val="18"/>
                <w:color w:val="0000FF"/>
                <w:w w:val="72"/>
              </w:rPr>
            </w:pPr>
            <w:hyperlink w:anchor="page142">
              <w:r>
                <w:rPr>
                  <w:rFonts w:ascii="Arial" w:cs="Arial" w:eastAsia="Arial" w:hAnsi="Arial"/>
                  <w:sz w:val="18"/>
                  <w:szCs w:val="18"/>
                  <w:color w:val="0000FF"/>
                  <w:w w:val="72"/>
                </w:rPr>
                <w:t>Firm</w:t>
              </w:r>
            </w:hyperlink>
          </w:p>
        </w:tc>
        <w:tc>
          <w:tcPr>
            <w:tcW w:w="3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85"/>
              </w:rPr>
              <w:t>31.1</w:t>
            </w:r>
          </w:p>
        </w:tc>
        <w:tc>
          <w:tcPr>
            <w:tcW w:w="3800" w:type="dxa"/>
            <w:vAlign w:val="bottom"/>
            <w:gridSpan w:val="34"/>
          </w:tcPr>
          <w:p>
            <w:pPr>
              <w:spacing w:after="0"/>
              <w:rPr>
                <w:rFonts w:ascii="Arial" w:cs="Arial" w:eastAsia="Arial" w:hAnsi="Arial"/>
                <w:sz w:val="18"/>
                <w:szCs w:val="18"/>
                <w:color w:val="0000FF"/>
                <w:w w:val="95"/>
              </w:rPr>
            </w:pPr>
            <w:hyperlink w:anchor="page143">
              <w:r>
                <w:rPr>
                  <w:rFonts w:ascii="Arial" w:cs="Arial" w:eastAsia="Arial" w:hAnsi="Arial"/>
                  <w:sz w:val="18"/>
                  <w:szCs w:val="18"/>
                  <w:color w:val="0000FF"/>
                  <w:w w:val="95"/>
                </w:rPr>
                <w:t>Certification of principal executive officer pursuant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7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to Rule 13a-14(a)/15d-14(a) of the Securities</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Exchange Act of 1934, as amended</w:t>
              </w:r>
            </w:hyperlink>
          </w:p>
        </w:tc>
        <w:tc>
          <w:tcPr>
            <w:tcW w:w="400" w:type="dxa"/>
            <w:vAlign w:val="bottom"/>
            <w:gridSpan w:val="14"/>
          </w:tcPr>
          <w:p>
            <w:pPr>
              <w:spacing w:after="0"/>
              <w:rPr>
                <w:sz w:val="13"/>
                <w:szCs w:val="13"/>
                <w:color w:val="auto"/>
              </w:rPr>
            </w:pPr>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1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85"/>
              </w:rPr>
              <w:t>31.2</w:t>
            </w:r>
          </w:p>
        </w:tc>
        <w:tc>
          <w:tcPr>
            <w:tcW w:w="3800" w:type="dxa"/>
            <w:vAlign w:val="bottom"/>
            <w:gridSpan w:val="34"/>
          </w:tcPr>
          <w:p>
            <w:pPr>
              <w:spacing w:after="0" w:line="196" w:lineRule="exact"/>
              <w:rPr>
                <w:rFonts w:ascii="Arial" w:cs="Arial" w:eastAsia="Arial" w:hAnsi="Arial"/>
                <w:sz w:val="18"/>
                <w:szCs w:val="18"/>
                <w:color w:val="0000FF"/>
                <w:w w:val="97"/>
              </w:rPr>
            </w:pPr>
            <w:hyperlink w:anchor="page144">
              <w:r>
                <w:rPr>
                  <w:rFonts w:ascii="Arial" w:cs="Arial" w:eastAsia="Arial" w:hAnsi="Arial"/>
                  <w:sz w:val="18"/>
                  <w:szCs w:val="18"/>
                  <w:color w:val="0000FF"/>
                  <w:w w:val="97"/>
                </w:rPr>
                <w:t>Certification of principal financial officer pursuant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44">
              <w:r>
                <w:rPr>
                  <w:rFonts w:ascii="Arial" w:cs="Arial" w:eastAsia="Arial" w:hAnsi="Arial"/>
                  <w:sz w:val="18"/>
                  <w:szCs w:val="18"/>
                  <w:color w:val="0000FF"/>
                </w:rPr>
                <w:t>to Rule 13a-14(a)/15d-14(a) of the Securities</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44">
              <w:r>
                <w:rPr>
                  <w:rFonts w:ascii="Arial" w:cs="Arial" w:eastAsia="Arial" w:hAnsi="Arial"/>
                  <w:sz w:val="18"/>
                  <w:szCs w:val="18"/>
                  <w:color w:val="0000FF"/>
                </w:rPr>
                <w:t>Exchange Act of 1934, as amended.</w:t>
              </w:r>
            </w:hyperlink>
          </w:p>
        </w:tc>
        <w:tc>
          <w:tcPr>
            <w:tcW w:w="5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gridSpan w:val="10"/>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jc w:val="center"/>
              <w:ind w:right="292"/>
              <w:spacing w:after="0"/>
              <w:rPr>
                <w:sz w:val="20"/>
                <w:szCs w:val="20"/>
                <w:color w:val="auto"/>
              </w:rPr>
            </w:pPr>
            <w:r>
              <w:rPr>
                <w:rFonts w:ascii="Arial" w:cs="Arial" w:eastAsia="Arial" w:hAnsi="Arial"/>
                <w:sz w:val="18"/>
                <w:szCs w:val="18"/>
                <w:color w:val="auto"/>
                <w:w w:val="99"/>
              </w:rPr>
              <w:t>32.1*</w:t>
            </w:r>
          </w:p>
        </w:tc>
        <w:tc>
          <w:tcPr>
            <w:tcW w:w="370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w:anchor="page145">
              <w:r>
                <w:rPr>
                  <w:rFonts w:ascii="Arial" w:cs="Arial" w:eastAsia="Arial" w:hAnsi="Arial"/>
                  <w:sz w:val="18"/>
                  <w:szCs w:val="18"/>
                  <w:color w:val="0000FF"/>
                  <w:w w:val="92"/>
                </w:rPr>
                <w:t>Certification of principal executive officer pursuant</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700" w:type="dxa"/>
            <w:vAlign w:val="bottom"/>
            <w:gridSpan w:val="31"/>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to 18 U.S.C. §1350, as adopted pursuant to</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w:anchor="page145">
              <w:r>
                <w:rPr>
                  <w:rFonts w:ascii="Arial" w:cs="Arial" w:eastAsia="Arial" w:hAnsi="Arial"/>
                  <w:sz w:val="18"/>
                  <w:szCs w:val="18"/>
                  <w:color w:val="0000FF"/>
                  <w:w w:val="92"/>
                </w:rPr>
                <w:t>Section 906 of the Sarbanes-Oxley Act of</w:t>
              </w:r>
            </w:hyperlink>
          </w:p>
        </w:tc>
        <w:tc>
          <w:tcPr>
            <w:tcW w:w="380" w:type="dxa"/>
            <w:vAlign w:val="bottom"/>
            <w:tcBorders>
              <w:bottom w:val="single" w:sz="8" w:color="0000FF"/>
            </w:tcBorders>
            <w:gridSpan w:val="7"/>
          </w:tcPr>
          <w:p>
            <w:pPr>
              <w:jc w:val="right"/>
              <w:spacing w:after="0" w:line="156" w:lineRule="exact"/>
              <w:rPr>
                <w:rFonts w:ascii="Arial" w:cs="Arial" w:eastAsia="Arial" w:hAnsi="Arial"/>
                <w:sz w:val="18"/>
                <w:szCs w:val="18"/>
                <w:color w:val="0000FF"/>
                <w:w w:val="79"/>
              </w:rPr>
            </w:pPr>
            <w:hyperlink w:anchor="page145">
              <w:r>
                <w:rPr>
                  <w:rFonts w:ascii="Arial" w:cs="Arial" w:eastAsia="Arial" w:hAnsi="Arial"/>
                  <w:sz w:val="18"/>
                  <w:szCs w:val="18"/>
                  <w:color w:val="0000FF"/>
                  <w:w w:val="79"/>
                </w:rPr>
                <w:t>2002.</w:t>
              </w:r>
            </w:hyperlink>
          </w:p>
        </w:tc>
        <w:tc>
          <w:tcPr>
            <w:tcW w:w="3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center"/>
              <w:ind w:right="292"/>
              <w:spacing w:after="0" w:line="196" w:lineRule="exact"/>
              <w:rPr>
                <w:sz w:val="20"/>
                <w:szCs w:val="20"/>
                <w:color w:val="auto"/>
              </w:rPr>
            </w:pPr>
            <w:r>
              <w:rPr>
                <w:rFonts w:ascii="Arial" w:cs="Arial" w:eastAsia="Arial" w:hAnsi="Arial"/>
                <w:sz w:val="18"/>
                <w:szCs w:val="18"/>
                <w:color w:val="auto"/>
                <w:w w:val="99"/>
              </w:rPr>
              <w:t>32.2*</w:t>
            </w:r>
          </w:p>
        </w:tc>
        <w:tc>
          <w:tcPr>
            <w:tcW w:w="3800" w:type="dxa"/>
            <w:vAlign w:val="bottom"/>
            <w:gridSpan w:val="34"/>
          </w:tcPr>
          <w:p>
            <w:pPr>
              <w:spacing w:after="0" w:line="196" w:lineRule="exact"/>
              <w:rPr>
                <w:rFonts w:ascii="Arial" w:cs="Arial" w:eastAsia="Arial" w:hAnsi="Arial"/>
                <w:sz w:val="18"/>
                <w:szCs w:val="18"/>
                <w:color w:val="0000FF"/>
                <w:w w:val="97"/>
              </w:rPr>
            </w:pPr>
            <w:hyperlink w:anchor="page146">
              <w:r>
                <w:rPr>
                  <w:rFonts w:ascii="Arial" w:cs="Arial" w:eastAsia="Arial" w:hAnsi="Arial"/>
                  <w:sz w:val="18"/>
                  <w:szCs w:val="18"/>
                  <w:color w:val="0000FF"/>
                  <w:w w:val="97"/>
                </w:rPr>
                <w:t>Certification of principal financial officer pursuant</w:t>
              </w:r>
            </w:hyperlink>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3640" w:type="dxa"/>
            <w:vAlign w:val="bottom"/>
            <w:tcBorders>
              <w:top w:val="single" w:sz="8" w:color="0000FF"/>
            </w:tcBorders>
            <w:gridSpan w:val="28"/>
          </w:tcPr>
          <w:p>
            <w:pPr>
              <w:spacing w:after="0" w:line="157" w:lineRule="exact"/>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to 18 U.S.C. §1350, as adopted pursuant to</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ind w:left="1140"/>
        <w:spacing w:after="0"/>
        <w:rPr>
          <w:rFonts w:ascii="Arial" w:cs="Arial" w:eastAsia="Arial" w:hAnsi="Arial"/>
          <w:sz w:val="17"/>
          <w:szCs w:val="17"/>
          <w:u w:val="single" w:color="auto"/>
          <w:color w:val="0000FF"/>
        </w:rPr>
      </w:pPr>
      <w:hyperlink w:anchor="page146">
        <w:r>
          <w:rPr>
            <w:rFonts w:ascii="Arial" w:cs="Arial" w:eastAsia="Arial" w:hAnsi="Arial"/>
            <w:sz w:val="17"/>
            <w:szCs w:val="17"/>
            <w:u w:val="single" w:color="auto"/>
            <w:color w:val="0000FF"/>
          </w:rPr>
          <w:t>Section 906 of the Sarbanes-Oxley Act of 2002.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23495</wp:posOffset>
            </wp:positionV>
            <wp:extent cx="32327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jc w:val="center"/>
              <w:ind w:right="192"/>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tcPr>
          <w:p>
            <w:pPr>
              <w:jc w:val="right"/>
              <w:ind w:right="673"/>
              <w:spacing w:after="0"/>
              <w:rPr>
                <w:sz w:val="20"/>
                <w:szCs w:val="20"/>
                <w:color w:val="auto"/>
              </w:rPr>
            </w:pPr>
            <w:r>
              <w:rPr>
                <w:rFonts w:ascii="Arial" w:cs="Arial" w:eastAsia="Arial" w:hAnsi="Arial"/>
                <w:sz w:val="14"/>
                <w:szCs w:val="14"/>
                <w:b w:val="1"/>
                <w:bCs w:val="1"/>
                <w:color w:val="auto"/>
              </w:rPr>
              <w:t>File</w:t>
            </w:r>
          </w:p>
        </w:tc>
        <w:tc>
          <w:tcPr>
            <w:tcW w:w="190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Date of Filing</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6"/>
        </w:trPr>
        <w:tc>
          <w:tcPr>
            <w:tcW w:w="660" w:type="dxa"/>
            <w:vAlign w:val="bottom"/>
            <w:vMerge w:val="continue"/>
          </w:tcPr>
          <w:p>
            <w:pPr>
              <w:spacing w:after="0"/>
              <w:rPr>
                <w:sz w:val="16"/>
                <w:szCs w:val="16"/>
                <w:color w:val="auto"/>
              </w:rPr>
            </w:pPr>
          </w:p>
        </w:tc>
        <w:tc>
          <w:tcPr>
            <w:tcW w:w="1460" w:type="dxa"/>
            <w:vAlign w:val="bottom"/>
          </w:tcPr>
          <w:p>
            <w:pPr>
              <w:jc w:val="right"/>
              <w:ind w:right="553"/>
              <w:spacing w:after="0"/>
              <w:rPr>
                <w:sz w:val="20"/>
                <w:szCs w:val="20"/>
                <w:color w:val="auto"/>
              </w:rPr>
            </w:pPr>
            <w:r>
              <w:rPr>
                <w:rFonts w:ascii="Arial" w:cs="Arial" w:eastAsia="Arial" w:hAnsi="Arial"/>
                <w:sz w:val="14"/>
                <w:szCs w:val="14"/>
                <w:b w:val="1"/>
                <w:bCs w:val="1"/>
                <w:color w:val="auto"/>
              </w:rPr>
              <w:t>Number</w:t>
            </w:r>
          </w:p>
        </w:tc>
        <w:tc>
          <w:tcPr>
            <w:tcW w:w="1900" w:type="dxa"/>
            <w:vAlign w:val="bottom"/>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46"/>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November 22, 2017</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581"/>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April 13, 2018</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81"/>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May 4, 2018</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05"/>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August 2, 2018</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581"/>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November 1, 2018</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581"/>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November 1, 2018</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581"/>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94"/>
              </w:rPr>
              <w:t>10-K</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February 14, 2019</w:t>
            </w: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405"/>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August 1, 2019</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62"/>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August 1, 2019</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662"/>
        </w:trPr>
        <w:tc>
          <w:tcPr>
            <w:tcW w:w="660" w:type="dxa"/>
            <w:vAlign w:val="bottom"/>
          </w:tcPr>
          <w:p>
            <w:pPr>
              <w:jc w:val="center"/>
              <w:ind w:right="212"/>
              <w:spacing w:after="0"/>
              <w:rPr>
                <w:sz w:val="20"/>
                <w:szCs w:val="20"/>
                <w:color w:val="auto"/>
              </w:rPr>
            </w:pPr>
            <w:r>
              <w:rPr>
                <w:rFonts w:ascii="Arial" w:cs="Arial" w:eastAsia="Arial" w:hAnsi="Arial"/>
                <w:sz w:val="18"/>
                <w:szCs w:val="18"/>
                <w:color w:val="auto"/>
                <w:w w:val="89"/>
              </w:rPr>
              <w:t>10-Q</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001-36014</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August 1, 2019</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Filed</w:t>
      </w:r>
    </w:p>
    <w:p>
      <w:pPr>
        <w:jc w:val="center"/>
        <w:ind w:right="180"/>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4920" w:space="340"/>
            <w:col w:w="4760" w:space="480"/>
            <w:col w:w="760"/>
          </w:cols>
          <w:pgMar w:left="240" w:top="121" w:right="3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Exhibit</w:t>
            </w:r>
          </w:p>
        </w:tc>
        <w:tc>
          <w:tcPr>
            <w:tcW w:w="410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840" w:type="dxa"/>
            <w:vAlign w:val="bottom"/>
          </w:tcPr>
          <w:p>
            <w:pPr>
              <w:ind w:left="480"/>
              <w:spacing w:after="0"/>
              <w:rPr>
                <w:sz w:val="20"/>
                <w:szCs w:val="20"/>
                <w:color w:val="auto"/>
              </w:rPr>
            </w:pPr>
            <w:r>
              <w:rPr>
                <w:rFonts w:ascii="Arial" w:cs="Arial" w:eastAsia="Arial" w:hAnsi="Arial"/>
                <w:sz w:val="14"/>
                <w:szCs w:val="14"/>
                <w:b w:val="1"/>
                <w:bCs w:val="1"/>
                <w:color w:val="auto"/>
              </w:rPr>
              <w:t>File</w:t>
            </w:r>
          </w:p>
        </w:tc>
        <w:tc>
          <w:tcPr>
            <w:tcW w:w="2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Date of Filing</w:t>
            </w:r>
          </w:p>
        </w:tc>
        <w:tc>
          <w:tcPr>
            <w:tcW w:w="116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ind w:left="44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Number</w:t>
            </w:r>
          </w:p>
        </w:tc>
        <w:tc>
          <w:tcPr>
            <w:tcW w:w="4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w w:val="98"/>
              </w:rPr>
              <w:t>Number</w:t>
            </w:r>
          </w:p>
        </w:tc>
        <w:tc>
          <w:tcPr>
            <w:tcW w:w="2260" w:type="dxa"/>
            <w:vAlign w:val="bottom"/>
            <w:vMerge w:val="continue"/>
          </w:tcPr>
          <w:p>
            <w:pPr>
              <w:spacing w:after="0"/>
              <w:rPr>
                <w:sz w:val="16"/>
                <w:szCs w:val="16"/>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46"/>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5"/>
              </w:rPr>
              <w:t>101.INS</w:t>
            </w:r>
          </w:p>
        </w:tc>
        <w:tc>
          <w:tcPr>
            <w:tcW w:w="4100" w:type="dxa"/>
            <w:vAlign w:val="bottom"/>
          </w:tcPr>
          <w:p>
            <w:pPr>
              <w:ind w:left="16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0"/>
              </w:rPr>
              <w:t>101.SCH</w:t>
            </w:r>
          </w:p>
        </w:tc>
        <w:tc>
          <w:tcPr>
            <w:tcW w:w="41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4"/>
              </w:rPr>
              <w:t>101.CAL</w:t>
            </w:r>
          </w:p>
        </w:tc>
        <w:tc>
          <w:tcPr>
            <w:tcW w:w="4100" w:type="dxa"/>
            <w:vAlign w:val="bottom"/>
          </w:tcPr>
          <w:p>
            <w:pPr>
              <w:ind w:left="160"/>
              <w:spacing w:after="0"/>
              <w:rPr>
                <w:sz w:val="20"/>
                <w:szCs w:val="20"/>
                <w:color w:val="auto"/>
              </w:rPr>
            </w:pPr>
            <w:r>
              <w:rPr>
                <w:rFonts w:ascii="Arial" w:cs="Arial" w:eastAsia="Arial" w:hAnsi="Arial"/>
                <w:sz w:val="18"/>
                <w:szCs w:val="18"/>
                <w:color w:val="auto"/>
                <w:w w:val="99"/>
              </w:rPr>
              <w:t>XBRL Taxonomy Calculation Linkbase Document</w:t>
            </w: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56"/>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2"/>
              </w:rPr>
              <w:t>101.DEF</w:t>
            </w:r>
          </w:p>
        </w:tc>
        <w:tc>
          <w:tcPr>
            <w:tcW w:w="410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5"/>
              </w:rPr>
              <w:t>101.LAB</w:t>
            </w:r>
          </w:p>
        </w:tc>
        <w:tc>
          <w:tcPr>
            <w:tcW w:w="410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91"/>
              </w:rPr>
              <w:t>101.PRE</w:t>
            </w:r>
          </w:p>
        </w:tc>
        <w:tc>
          <w:tcPr>
            <w:tcW w:w="4100" w:type="dxa"/>
            <w:vAlign w:val="bottom"/>
          </w:tcPr>
          <w:p>
            <w:pPr>
              <w:ind w:left="160"/>
              <w:spacing w:after="0"/>
              <w:rPr>
                <w:sz w:val="20"/>
                <w:szCs w:val="20"/>
                <w:color w:val="auto"/>
              </w:rPr>
            </w:pPr>
            <w:r>
              <w:rPr>
                <w:rFonts w:ascii="Arial" w:cs="Arial" w:eastAsia="Arial" w:hAnsi="Arial"/>
                <w:sz w:val="18"/>
                <w:szCs w:val="18"/>
                <w:color w:val="auto"/>
                <w:w w:val="96"/>
              </w:rPr>
              <w:t>XBRL Taxonomy Presentation Linkbase Document</w:t>
            </w: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56"/>
        </w:trPr>
        <w:tc>
          <w:tcPr>
            <w:tcW w:w="800" w:type="dxa"/>
            <w:vAlign w:val="bottom"/>
          </w:tcPr>
          <w:p>
            <w:pPr>
              <w:jc w:val="center"/>
              <w:ind w:right="54"/>
              <w:spacing w:after="0"/>
              <w:rPr>
                <w:sz w:val="20"/>
                <w:szCs w:val="20"/>
                <w:color w:val="auto"/>
              </w:rPr>
            </w:pPr>
            <w:r>
              <w:rPr>
                <w:rFonts w:ascii="Arial" w:cs="Arial" w:eastAsia="Arial" w:hAnsi="Arial"/>
                <w:sz w:val="18"/>
                <w:szCs w:val="18"/>
                <w:color w:val="auto"/>
                <w:w w:val="86"/>
              </w:rPr>
              <w:t>104</w:t>
            </w:r>
          </w:p>
        </w:tc>
        <w:tc>
          <w:tcPr>
            <w:tcW w:w="4100" w:type="dxa"/>
            <w:vAlign w:val="bottom"/>
          </w:tcPr>
          <w:p>
            <w:pPr>
              <w:ind w:left="160"/>
              <w:spacing w:after="0"/>
              <w:rPr>
                <w:sz w:val="20"/>
                <w:szCs w:val="20"/>
                <w:color w:val="auto"/>
              </w:rPr>
            </w:pPr>
            <w:r>
              <w:rPr>
                <w:rFonts w:ascii="Arial" w:cs="Arial" w:eastAsia="Arial" w:hAnsi="Arial"/>
                <w:sz w:val="18"/>
                <w:szCs w:val="18"/>
                <w:color w:val="auto"/>
                <w:w w:val="93"/>
              </w:rPr>
              <w:t>Cover Page Interactive Data File (formatted as Inline</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XBRL and contained in Exhibit 101)</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40" w:hanging="677"/>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63" w:lineRule="exact"/>
        <w:rPr>
          <w:sz w:val="20"/>
          <w:szCs w:val="20"/>
          <w:color w:val="auto"/>
        </w:rPr>
      </w:pPr>
    </w:p>
    <w:p>
      <w:pPr>
        <w:ind w:left="1140" w:right="20" w:hanging="677"/>
        <w:spacing w:after="0" w:line="277"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filed separately with the Securities and Exchange Commission.</w:t>
      </w:r>
    </w:p>
    <w:p>
      <w:pPr>
        <w:spacing w:after="0" w:line="8" w:lineRule="exact"/>
        <w:rPr>
          <w:sz w:val="20"/>
          <w:szCs w:val="20"/>
          <w:color w:val="auto"/>
        </w:rPr>
      </w:pPr>
    </w:p>
    <w:p>
      <w:pPr>
        <w:ind w:left="1140" w:right="40" w:hanging="677"/>
        <w:spacing w:after="0" w:line="259"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AGIOS PHARMACEUTICALS, INC.</w:t>
      </w:r>
    </w:p>
    <w:p>
      <w:pPr>
        <w:spacing w:after="0" w:line="333" w:lineRule="exact"/>
        <w:rPr>
          <w:sz w:val="20"/>
          <w:szCs w:val="20"/>
          <w:color w:val="auto"/>
        </w:rPr>
      </w:pPr>
    </w:p>
    <w:p>
      <w:pPr>
        <w:ind w:left="20"/>
        <w:spacing w:after="0"/>
        <w:tabs>
          <w:tab w:leader="none" w:pos="6700" w:val="left"/>
          <w:tab w:leader="none" w:pos="766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Jacqualyn A. Fouse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583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Jacqualyn A. Fouse, Ph.D.</w:t>
      </w:r>
    </w:p>
    <w:p>
      <w:pPr>
        <w:ind w:left="7680"/>
        <w:spacing w:after="0"/>
        <w:rPr>
          <w:sz w:val="20"/>
          <w:szCs w:val="20"/>
          <w:color w:val="auto"/>
        </w:rPr>
      </w:pPr>
      <w:r>
        <w:rPr>
          <w:rFonts w:ascii="Arial" w:cs="Arial" w:eastAsia="Arial" w:hAnsi="Arial"/>
          <w:sz w:val="18"/>
          <w:szCs w:val="18"/>
          <w:i w:val="1"/>
          <w:iCs w:val="1"/>
          <w:color w:val="auto"/>
        </w:rPr>
        <w:t>Chief Executive Officer</w:t>
      </w:r>
    </w:p>
    <w:p>
      <w:pPr>
        <w:spacing w:after="0" w:line="209"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00"/>
          </w:cols>
          <w:pgMar w:left="240" w:top="121" w:right="359" w:bottom="1440" w:gutter="0" w:footer="0" w:header="0"/>
        </w:sectPr>
      </w:pPr>
    </w:p>
    <w:p>
      <w:pPr>
        <w:spacing w:after="0" w:line="4"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Signature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Jacqualyn A. Fouse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331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Jacqualyn A. Fouse, Ph.D.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Hirsch</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Carman Alenson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Carman Alenson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J. Clancy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Ian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Ian Clark</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Kaye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Kaye Foster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Maykin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Maykin Ho, Ph.D.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M. Maraganore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Maraganore, Ph.D.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Scadden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Scadden, M.D.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P. Schenkein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P. Schenkein, M.D.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Title</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480" w:type="dxa"/>
            <w:vAlign w:val="bottom"/>
          </w:tcPr>
          <w:p>
            <w:pPr>
              <w:jc w:val="center"/>
              <w:ind w:right="250"/>
              <w:spacing w:after="0"/>
              <w:rPr>
                <w:sz w:val="20"/>
                <w:szCs w:val="20"/>
                <w:color w:val="auto"/>
              </w:rPr>
            </w:pPr>
            <w:r>
              <w:rPr>
                <w:rFonts w:ascii="Arial" w:cs="Arial" w:eastAsia="Arial" w:hAnsi="Arial"/>
                <w:sz w:val="18"/>
                <w:szCs w:val="18"/>
                <w:color w:val="auto"/>
                <w:w w:val="95"/>
              </w:rPr>
              <w:t>Chief Executive Officer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162"/>
        </w:trPr>
        <w:tc>
          <w:tcPr>
            <w:tcW w:w="3480" w:type="dxa"/>
            <w:vAlign w:val="bottom"/>
          </w:tcPr>
          <w:p>
            <w:pPr>
              <w:jc w:val="center"/>
              <w:ind w:right="250"/>
              <w:spacing w:after="0" w:line="162" w:lineRule="exact"/>
              <w:rPr>
                <w:sz w:val="20"/>
                <w:szCs w:val="20"/>
                <w:color w:val="auto"/>
              </w:rPr>
            </w:pPr>
            <w:r>
              <w:rPr>
                <w:rFonts w:ascii="Arial" w:cs="Arial" w:eastAsia="Arial" w:hAnsi="Arial"/>
                <w:sz w:val="18"/>
                <w:szCs w:val="18"/>
                <w:color w:val="auto"/>
                <w:w w:val="91"/>
              </w:rPr>
              <w:t>and Director</w:t>
            </w:r>
          </w:p>
        </w:tc>
        <w:tc>
          <w:tcPr>
            <w:tcW w:w="1660" w:type="dxa"/>
            <w:vAlign w:val="bottom"/>
          </w:tcPr>
          <w:p>
            <w:pPr>
              <w:spacing w:after="0"/>
              <w:rPr>
                <w:sz w:val="14"/>
                <w:szCs w:val="14"/>
                <w:color w:val="auto"/>
              </w:rPr>
            </w:pPr>
          </w:p>
        </w:tc>
      </w:tr>
      <w:tr>
        <w:trPr>
          <w:trHeight w:val="229"/>
        </w:trPr>
        <w:tc>
          <w:tcPr>
            <w:tcW w:w="3480" w:type="dxa"/>
            <w:vAlign w:val="bottom"/>
          </w:tcPr>
          <w:p>
            <w:pPr>
              <w:jc w:val="center"/>
              <w:ind w:right="250"/>
              <w:spacing w:after="0"/>
              <w:rPr>
                <w:sz w:val="20"/>
                <w:szCs w:val="20"/>
                <w:color w:val="auto"/>
              </w:rPr>
            </w:pPr>
            <w:r>
              <w:rPr>
                <w:rFonts w:ascii="Arial" w:cs="Arial" w:eastAsia="Arial" w:hAnsi="Arial"/>
                <w:sz w:val="18"/>
                <w:szCs w:val="18"/>
                <w:color w:val="auto"/>
                <w:w w:val="93"/>
              </w:rPr>
              <w:t>(Principal executive officer)</w:t>
            </w:r>
          </w:p>
        </w:tc>
        <w:tc>
          <w:tcPr>
            <w:tcW w:w="1660" w:type="dxa"/>
            <w:vAlign w:val="bottom"/>
          </w:tcPr>
          <w:p>
            <w:pPr>
              <w:spacing w:after="0"/>
              <w:rPr>
                <w:sz w:val="19"/>
                <w:szCs w:val="19"/>
                <w:color w:val="auto"/>
              </w:rPr>
            </w:pPr>
          </w:p>
        </w:tc>
      </w:tr>
      <w:tr>
        <w:trPr>
          <w:trHeight w:val="190"/>
        </w:trPr>
        <w:tc>
          <w:tcPr>
            <w:tcW w:w="3480" w:type="dxa"/>
            <w:vAlign w:val="bottom"/>
          </w:tcPr>
          <w:p>
            <w:pPr>
              <w:jc w:val="center"/>
              <w:ind w:right="270"/>
              <w:spacing w:after="0" w:line="190" w:lineRule="exact"/>
              <w:rPr>
                <w:sz w:val="20"/>
                <w:szCs w:val="20"/>
                <w:color w:val="auto"/>
              </w:rPr>
            </w:pPr>
            <w:r>
              <w:rPr>
                <w:rFonts w:ascii="Arial" w:cs="Arial" w:eastAsia="Arial" w:hAnsi="Arial"/>
                <w:sz w:val="18"/>
                <w:szCs w:val="18"/>
                <w:color w:val="auto"/>
                <w:w w:val="94"/>
              </w:rPr>
              <w:t>Chief Financial Officer</w:t>
            </w:r>
          </w:p>
        </w:tc>
        <w:tc>
          <w:tcPr>
            <w:tcW w:w="1660" w:type="dxa"/>
            <w:vAlign w:val="bottom"/>
          </w:tcPr>
          <w:p>
            <w:pPr>
              <w:jc w:val="center"/>
              <w:ind w:left="230"/>
              <w:spacing w:after="0" w:line="190" w:lineRule="exact"/>
              <w:rPr>
                <w:sz w:val="20"/>
                <w:szCs w:val="20"/>
                <w:color w:val="auto"/>
              </w:rPr>
            </w:pPr>
            <w:r>
              <w:rPr>
                <w:rFonts w:ascii="Arial" w:cs="Arial" w:eastAsia="Arial" w:hAnsi="Arial"/>
                <w:sz w:val="18"/>
                <w:szCs w:val="18"/>
                <w:color w:val="auto"/>
                <w:w w:val="91"/>
              </w:rPr>
              <w:t>February 19, 2020</w:t>
            </w:r>
          </w:p>
        </w:tc>
      </w:tr>
      <w:tr>
        <w:trPr>
          <w:trHeight w:val="230"/>
        </w:trPr>
        <w:tc>
          <w:tcPr>
            <w:tcW w:w="3480" w:type="dxa"/>
            <w:vAlign w:val="bottom"/>
          </w:tcPr>
          <w:p>
            <w:pPr>
              <w:jc w:val="center"/>
              <w:ind w:right="250"/>
              <w:spacing w:after="0"/>
              <w:rPr>
                <w:sz w:val="20"/>
                <w:szCs w:val="20"/>
                <w:color w:val="auto"/>
              </w:rPr>
            </w:pPr>
            <w:r>
              <w:rPr>
                <w:rFonts w:ascii="Arial" w:cs="Arial" w:eastAsia="Arial" w:hAnsi="Arial"/>
                <w:sz w:val="18"/>
                <w:szCs w:val="18"/>
                <w:color w:val="auto"/>
                <w:w w:val="96"/>
              </w:rPr>
              <w:t>(Principal financial officer)</w:t>
            </w:r>
          </w:p>
        </w:tc>
        <w:tc>
          <w:tcPr>
            <w:tcW w:w="1660" w:type="dxa"/>
            <w:vAlign w:val="bottom"/>
          </w:tcPr>
          <w:p>
            <w:pPr>
              <w:spacing w:after="0"/>
              <w:rPr>
                <w:sz w:val="20"/>
                <w:szCs w:val="20"/>
                <w:color w:val="auto"/>
              </w:rPr>
            </w:pPr>
          </w:p>
        </w:tc>
      </w:tr>
      <w:tr>
        <w:trPr>
          <w:trHeight w:val="526"/>
        </w:trPr>
        <w:tc>
          <w:tcPr>
            <w:tcW w:w="3480" w:type="dxa"/>
            <w:vAlign w:val="bottom"/>
          </w:tcPr>
          <w:p>
            <w:pPr>
              <w:jc w:val="center"/>
              <w:ind w:right="250"/>
              <w:spacing w:after="0"/>
              <w:rPr>
                <w:sz w:val="20"/>
                <w:szCs w:val="20"/>
                <w:color w:val="auto"/>
              </w:rPr>
            </w:pPr>
            <w:r>
              <w:rPr>
                <w:rFonts w:ascii="Arial" w:cs="Arial" w:eastAsia="Arial" w:hAnsi="Arial"/>
                <w:sz w:val="18"/>
                <w:szCs w:val="18"/>
                <w:color w:val="auto"/>
                <w:w w:val="90"/>
              </w:rPr>
              <w:t>Vice President of Accounting, Treasury and</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162"/>
        </w:trPr>
        <w:tc>
          <w:tcPr>
            <w:tcW w:w="3480" w:type="dxa"/>
            <w:vAlign w:val="bottom"/>
          </w:tcPr>
          <w:p>
            <w:pPr>
              <w:jc w:val="center"/>
              <w:ind w:right="250"/>
              <w:spacing w:after="0" w:line="162" w:lineRule="exact"/>
              <w:rPr>
                <w:sz w:val="20"/>
                <w:szCs w:val="20"/>
                <w:color w:val="auto"/>
              </w:rPr>
            </w:pPr>
            <w:r>
              <w:rPr>
                <w:rFonts w:ascii="Arial" w:cs="Arial" w:eastAsia="Arial" w:hAnsi="Arial"/>
                <w:sz w:val="18"/>
                <w:szCs w:val="18"/>
                <w:color w:val="auto"/>
                <w:w w:val="86"/>
              </w:rPr>
              <w:t>Tax</w:t>
            </w:r>
          </w:p>
        </w:tc>
        <w:tc>
          <w:tcPr>
            <w:tcW w:w="1660" w:type="dxa"/>
            <w:vAlign w:val="bottom"/>
          </w:tcPr>
          <w:p>
            <w:pPr>
              <w:spacing w:after="0"/>
              <w:rPr>
                <w:sz w:val="14"/>
                <w:szCs w:val="14"/>
                <w:color w:val="auto"/>
              </w:rPr>
            </w:pPr>
          </w:p>
        </w:tc>
      </w:tr>
      <w:tr>
        <w:trPr>
          <w:trHeight w:val="230"/>
        </w:trPr>
        <w:tc>
          <w:tcPr>
            <w:tcW w:w="3480" w:type="dxa"/>
            <w:vAlign w:val="bottom"/>
          </w:tcPr>
          <w:p>
            <w:pPr>
              <w:jc w:val="center"/>
              <w:ind w:right="250"/>
              <w:spacing w:after="0"/>
              <w:rPr>
                <w:sz w:val="20"/>
                <w:szCs w:val="20"/>
                <w:color w:val="auto"/>
              </w:rPr>
            </w:pPr>
            <w:r>
              <w:rPr>
                <w:rFonts w:ascii="Arial" w:cs="Arial" w:eastAsia="Arial" w:hAnsi="Arial"/>
                <w:sz w:val="18"/>
                <w:szCs w:val="18"/>
                <w:color w:val="auto"/>
                <w:w w:val="94"/>
              </w:rPr>
              <w:t>(Principal accounting officer)</w:t>
            </w:r>
          </w:p>
        </w:tc>
        <w:tc>
          <w:tcPr>
            <w:tcW w:w="1660" w:type="dxa"/>
            <w:vAlign w:val="bottom"/>
          </w:tcPr>
          <w:p>
            <w:pPr>
              <w:spacing w:after="0"/>
              <w:rPr>
                <w:sz w:val="20"/>
                <w:szCs w:val="20"/>
                <w:color w:val="auto"/>
              </w:rPr>
            </w:pPr>
          </w:p>
        </w:tc>
      </w:tr>
      <w:tr>
        <w:trPr>
          <w:trHeight w:val="418"/>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56"/>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56"/>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56"/>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56"/>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56"/>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r>
        <w:trPr>
          <w:trHeight w:val="729"/>
        </w:trPr>
        <w:tc>
          <w:tcPr>
            <w:tcW w:w="3480" w:type="dxa"/>
            <w:vAlign w:val="bottom"/>
          </w:tcPr>
          <w:p>
            <w:pPr>
              <w:jc w:val="center"/>
              <w:ind w:right="27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1"/>
              </w:rPr>
              <w:t>February 19, 2020</w:t>
            </w:r>
          </w:p>
        </w:tc>
      </w:tr>
    </w:tbl>
    <w:p>
      <w:pPr>
        <w:spacing w:after="0" w:line="446" w:lineRule="exact"/>
        <w:rPr>
          <w:sz w:val="20"/>
          <w:szCs w:val="20"/>
          <w:color w:val="auto"/>
        </w:rPr>
      </w:pPr>
    </w:p>
    <w:p>
      <w:pPr>
        <w:sectPr>
          <w:pgSz w:w="11900" w:h="16838" w:orient="portrait"/>
          <w:cols w:equalWidth="0" w:num="2">
            <w:col w:w="5000" w:space="720"/>
            <w:col w:w="5580"/>
          </w:cols>
          <w:pgMar w:left="24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1320" w:type="dxa"/>
            <w:vAlign w:val="bottom"/>
            <w:gridSpan w:val="10"/>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80" w:type="dxa"/>
            <w:vAlign w:val="bottom"/>
          </w:tcPr>
          <w:p>
            <w:pPr>
              <w:jc w:val="center"/>
              <w:ind w:right="4050"/>
              <w:spacing w:after="0"/>
              <w:rPr>
                <w:sz w:val="20"/>
                <w:szCs w:val="20"/>
                <w:color w:val="auto"/>
              </w:rPr>
            </w:pPr>
            <w:r>
              <w:rPr>
                <w:rFonts w:ascii="Arial" w:cs="Arial" w:eastAsia="Arial" w:hAnsi="Arial"/>
                <w:sz w:val="18"/>
                <w:szCs w:val="18"/>
                <w:color w:val="auto"/>
                <w:w w:val="90"/>
              </w:rPr>
              <w:t>Agios Pharmaceuticals, Inc.</w:t>
            </w:r>
          </w:p>
        </w:tc>
        <w:tc>
          <w:tcPr>
            <w:tcW w:w="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
          </w:tcPr>
          <w:p>
            <w:pPr>
              <w:jc w:val="center"/>
              <w:ind w:right="3390"/>
              <w:spacing w:after="0"/>
              <w:rPr>
                <w:sz w:val="20"/>
                <w:szCs w:val="20"/>
                <w:color w:val="auto"/>
              </w:rPr>
            </w:pPr>
            <w:r>
              <w:rPr>
                <w:rFonts w:ascii="Arial" w:cs="Arial" w:eastAsia="Arial" w:hAnsi="Arial"/>
                <w:sz w:val="18"/>
                <w:szCs w:val="18"/>
                <w:color w:val="auto"/>
                <w:w w:val="90"/>
              </w:rPr>
              <w:t>Index to Consolidated Financial Statements</w:t>
            </w: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300" w:type="dxa"/>
            <w:vAlign w:val="bottom"/>
            <w:gridSpan w:val="9"/>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Report of Independent Registered Public Accounting Firm</w:t>
              </w:r>
            </w:hyperlink>
          </w:p>
        </w:tc>
        <w:tc>
          <w:tcPr>
            <w:tcW w:w="80" w:type="dxa"/>
            <w:vAlign w:val="bottom"/>
          </w:tcPr>
          <w:p>
            <w:pPr>
              <w:jc w:val="right"/>
              <w:spacing w:after="0"/>
              <w:rPr>
                <w:rFonts w:ascii="Arial" w:cs="Arial" w:eastAsia="Arial" w:hAnsi="Arial"/>
                <w:sz w:val="15"/>
                <w:szCs w:val="15"/>
                <w:color w:val="0000FF"/>
                <w:w w:val="71"/>
              </w:rPr>
            </w:pPr>
            <w:hyperlink w:anchor="page99">
              <w:r>
                <w:rPr>
                  <w:rFonts w:ascii="Arial" w:cs="Arial" w:eastAsia="Arial" w:hAnsi="Arial"/>
                  <w:sz w:val="15"/>
                  <w:szCs w:val="15"/>
                  <w:color w:val="0000FF"/>
                  <w:w w:val="71"/>
                </w:rPr>
                <w:t>2</w:t>
              </w:r>
            </w:hyperlink>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101">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6"/>
          </w:tcPr>
          <w:p>
            <w:pPr>
              <w:spacing w:after="0"/>
              <w:rPr>
                <w:sz w:val="18"/>
                <w:szCs w:val="18"/>
                <w:color w:val="auto"/>
              </w:rPr>
            </w:pPr>
          </w:p>
        </w:tc>
        <w:tc>
          <w:tcPr>
            <w:tcW w:w="708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101">
              <w:r>
                <w:rPr>
                  <w:rFonts w:ascii="Arial" w:cs="Arial" w:eastAsia="Arial" w:hAnsi="Arial"/>
                  <w:sz w:val="15"/>
                  <w:szCs w:val="15"/>
                  <w:color w:val="0000FF"/>
                  <w:w w:val="71"/>
                </w:rPr>
                <w:t>4</w:t>
              </w:r>
            </w:hyperlink>
          </w:p>
        </w:tc>
      </w:tr>
      <w:tr>
        <w:trPr>
          <w:trHeight w:val="210"/>
        </w:trPr>
        <w:tc>
          <w:tcPr>
            <w:tcW w:w="20" w:type="dxa"/>
            <w:vAlign w:val="bottom"/>
          </w:tcPr>
          <w:p>
            <w:pPr>
              <w:spacing w:after="0"/>
              <w:rPr>
                <w:sz w:val="18"/>
                <w:szCs w:val="18"/>
                <w:color w:val="auto"/>
              </w:rPr>
            </w:pPr>
          </w:p>
        </w:tc>
        <w:tc>
          <w:tcPr>
            <w:tcW w:w="11300" w:type="dxa"/>
            <w:vAlign w:val="bottom"/>
            <w:gridSpan w:val="9"/>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Consolidated Statements of Operations</w:t>
              </w:r>
            </w:hyperlink>
          </w:p>
        </w:tc>
        <w:tc>
          <w:tcPr>
            <w:tcW w:w="80" w:type="dxa"/>
            <w:vAlign w:val="bottom"/>
          </w:tcPr>
          <w:p>
            <w:pPr>
              <w:jc w:val="right"/>
              <w:spacing w:after="0"/>
              <w:rPr>
                <w:rFonts w:ascii="Arial" w:cs="Arial" w:eastAsia="Arial" w:hAnsi="Arial"/>
                <w:sz w:val="15"/>
                <w:szCs w:val="15"/>
                <w:color w:val="0000FF"/>
                <w:w w:val="71"/>
              </w:rPr>
            </w:pPr>
            <w:hyperlink w:anchor="page102">
              <w:r>
                <w:rPr>
                  <w:rFonts w:ascii="Arial" w:cs="Arial" w:eastAsia="Arial" w:hAnsi="Arial"/>
                  <w:sz w:val="15"/>
                  <w:szCs w:val="15"/>
                  <w:color w:val="0000FF"/>
                  <w:w w:val="71"/>
                </w:rPr>
                <w:t>5</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300" w:type="dxa"/>
            <w:vAlign w:val="bottom"/>
            <w:gridSpan w:val="9"/>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Consolidated Statements of Comprehensive Loss</w:t>
              </w:r>
            </w:hyperlink>
          </w:p>
        </w:tc>
        <w:tc>
          <w:tcPr>
            <w:tcW w:w="80" w:type="dxa"/>
            <w:vAlign w:val="bottom"/>
          </w:tcPr>
          <w:p>
            <w:pPr>
              <w:jc w:val="right"/>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6</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Consolidated Statements of Stockholders’ Equity</w:t>
              </w:r>
            </w:hyperlink>
          </w:p>
        </w:tc>
        <w:tc>
          <w:tcPr>
            <w:tcW w:w="7740" w:type="dxa"/>
            <w:vAlign w:val="bottom"/>
            <w:gridSpan w:val="2"/>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7</w:t>
              </w:r>
            </w:hyperlink>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Consolidated Statements of Cash Flows</w:t>
              </w:r>
            </w:hyperlink>
          </w:p>
        </w:tc>
        <w:tc>
          <w:tcPr>
            <w:tcW w:w="8420" w:type="dxa"/>
            <w:vAlign w:val="bottom"/>
            <w:gridSpan w:val="5"/>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5">
              <w:r>
                <w:rPr>
                  <w:rFonts w:ascii="Arial" w:cs="Arial" w:eastAsia="Arial" w:hAnsi="Arial"/>
                  <w:sz w:val="15"/>
                  <w:szCs w:val="15"/>
                  <w:color w:val="0000FF"/>
                  <w:w w:val="71"/>
                </w:rPr>
                <w:t>8</w:t>
              </w:r>
            </w:hyperlink>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06">
              <w:r>
                <w:rPr>
                  <w:rFonts w:ascii="Arial" w:cs="Arial" w:eastAsia="Arial" w:hAnsi="Arial"/>
                  <w:sz w:val="18"/>
                  <w:szCs w:val="18"/>
                  <w:color w:val="0000FF"/>
                  <w:w w:val="89"/>
                </w:rPr>
                <w:t>Notes to Consolidated Financial Statements</w:t>
              </w:r>
            </w:hyperlink>
          </w:p>
        </w:tc>
        <w:tc>
          <w:tcPr>
            <w:tcW w:w="8140" w:type="dxa"/>
            <w:vAlign w:val="bottom"/>
            <w:gridSpan w:val="4"/>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6">
              <w:r>
                <w:rPr>
                  <w:rFonts w:ascii="Arial" w:cs="Arial" w:eastAsia="Arial" w:hAnsi="Arial"/>
                  <w:sz w:val="15"/>
                  <w:szCs w:val="15"/>
                  <w:color w:val="0000FF"/>
                  <w:w w:val="71"/>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Agios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Agios Pharmaceuticals, Inc. and its subsidiaries (the “Company”) as of December 31, 2019 and 2018, and the related consolidated statements of operations, of comprehensive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Celgene Collaboration Agreement Research and Development Services Recognized Under an Input Method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Notes 2 and 11 to the consolidated financial statements, the Company recognizes revenue arising from collaboration agreements with Celgene. A significant portion of revenue generated from the Company’s collaboration agreements with Celgene relates to the provision of research and development services whereby revenue is recognized under an input method using the ratio of effort incurred to date compared to the total estimated effort required to complete the performance obligation. The calculation of the total estimated effort includes the total amount of forecasted costs associated with the completion of discovery, pre-clinical or clinical trials, as well as the assumed timing of these activities and estimated patient populations. Such cost estimates include forecasted direct labor and material costs, subcontractor costs, and external contract research organization costs. Research and development services revenue recognized from the collaboration with Celgene were $36.0 million during the year-ended December 31, 2019.</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 Celgene collaboration agreement research and development services recognized under an input method – is a critical audit matter are there was significant judgment and estimation by management in determining the total estimated effort required to complete the performance obligation, specifically the estimation of forecasted direct labor and material costs, and external contract research organization costs. This in turn led to a high degree of auditor judgment, effort and subjectivity in performing procedures and in evaluating audit evidence relating to the cost estimates made by management.</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revenue recognized for research and development services, controls over the costs incurred to date for each performance obligation, and controls over the inputs and assumptions used to estimate the total effort required to complete each performance obligation. These procedures also included, among others, testing the actual costs incurred to date for each identified performance obligation, and evaluating and testing management’s process for estimating total costs to complete each performance obligation which included evaluating the reasonableness of management’s estimates of total forecasted direct labor and materials costs and total external contract research organization costs. Evaluating the reasonableness of the assumptions used involved evaluating the appropriateness of changes to management’s estimates of total costs to complete and performing a comparison of management’s prior period cost estimates to actual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ind w:left="4700"/>
              <w:spacing w:after="0"/>
              <w:rPr>
                <w:sz w:val="20"/>
                <w:szCs w:val="20"/>
                <w:color w:val="auto"/>
              </w:rPr>
            </w:pPr>
            <w:r>
              <w:rPr>
                <w:rFonts w:ascii="Arial" w:cs="Arial" w:eastAsia="Arial" w:hAnsi="Arial"/>
                <w:sz w:val="18"/>
                <w:szCs w:val="18"/>
                <w:color w:val="auto"/>
              </w:rPr>
              <w:t>Agios Pharmaceuticals, Inc.</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00" w:type="dxa"/>
            <w:vAlign w:val="bottom"/>
          </w:tcPr>
          <w:p>
            <w:pPr>
              <w:ind w:left="4640"/>
              <w:spacing w:after="0"/>
              <w:rPr>
                <w:sz w:val="20"/>
                <w:szCs w:val="20"/>
                <w:color w:val="auto"/>
              </w:rPr>
            </w:pPr>
            <w:r>
              <w:rPr>
                <w:rFonts w:ascii="Arial" w:cs="Arial" w:eastAsia="Arial" w:hAnsi="Arial"/>
                <w:sz w:val="18"/>
                <w:szCs w:val="18"/>
                <w:color w:val="auto"/>
              </w:rPr>
              <w:t>Consolidated Balance Sheets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December 31: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80,931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70,502</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483,946</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514,800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8,952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Collaboration receivable – related party</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1,539</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Collaboration receivable –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1,928</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Royalty receivable – related party</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2,900</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7,331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24,177</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611,704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613,780</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152,929</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220,119</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93,643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31,472</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890,741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858,457</w:t>
            </w:r>
          </w:p>
        </w:tc>
        <w:tc>
          <w:tcPr>
            <w:tcW w:w="0" w:type="dxa"/>
            <w:vAlign w:val="bottom"/>
          </w:tcPr>
          <w:p>
            <w:pPr>
              <w:spacing w:after="0"/>
              <w:rPr>
                <w:sz w:val="1"/>
                <w:szCs w:val="1"/>
                <w:color w:val="auto"/>
              </w:rPr>
            </w:pPr>
          </w:p>
        </w:tc>
      </w:tr>
      <w:tr>
        <w:trPr>
          <w:trHeight w:val="243"/>
        </w:trPr>
        <w:tc>
          <w:tcPr>
            <w:tcW w:w="8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21,896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53,142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Deferred revenue – related party</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10,933</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32,710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6,642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Financing lease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92,886</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93,503</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 –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50,580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59,809</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106,074</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Financing lease liabilities, net of current portion</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250,213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170,920</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9)</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500" w:type="dxa"/>
            <w:vAlign w:val="bottom"/>
          </w:tcPr>
          <w:p>
            <w:pPr>
              <w:ind w:left="360"/>
              <w:spacing w:after="0" w:line="176" w:lineRule="exact"/>
              <w:rPr>
                <w:sz w:val="20"/>
                <w:szCs w:val="20"/>
                <w:color w:val="auto"/>
              </w:rPr>
            </w:pPr>
            <w:r>
              <w:rPr>
                <w:rFonts w:ascii="Arial" w:cs="Arial" w:eastAsia="Arial" w:hAnsi="Arial"/>
                <w:sz w:val="18"/>
                <w:szCs w:val="18"/>
                <w:color w:val="auto"/>
                <w:w w:val="90"/>
              </w:rPr>
              <w:t>Preferred stock, $0.001 par value; 25,000,000 shares authorized, no shares issued and outstanding at December</w:t>
            </w:r>
          </w:p>
        </w:tc>
        <w:tc>
          <w:tcPr>
            <w:tcW w:w="360" w:type="dxa"/>
            <w:vAlign w:val="bottom"/>
          </w:tcPr>
          <w:p>
            <w:pPr>
              <w:spacing w:after="0"/>
              <w:rPr>
                <w:sz w:val="15"/>
                <w:szCs w:val="15"/>
                <w:color w:val="auto"/>
              </w:rPr>
            </w:pPr>
          </w:p>
        </w:tc>
        <w:tc>
          <w:tcPr>
            <w:tcW w:w="108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tcPr>
          <w:p>
            <w:pPr>
              <w:ind w:left="360"/>
              <w:spacing w:after="0"/>
              <w:rPr>
                <w:sz w:val="20"/>
                <w:szCs w:val="20"/>
                <w:color w:val="auto"/>
              </w:rPr>
            </w:pPr>
            <w:r>
              <w:rPr>
                <w:rFonts w:ascii="Arial" w:cs="Arial" w:eastAsia="Arial" w:hAnsi="Arial"/>
                <w:sz w:val="18"/>
                <w:szCs w:val="18"/>
                <w:color w:val="auto"/>
              </w:rPr>
              <w:t>31, 2019 and 2018</w:t>
            </w: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0"/>
              </w:rPr>
              <w:t>Common stock, $0.001 par value; 125,000,000 shares authorized and 68,401,105 and 58,218,653 shares issued</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line="189" w:lineRule="exact"/>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1"/>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December 31, 2019 and 2018, respectively</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2,156,363</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1,794,283</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(1,516,105)</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(1,104,633)</w:t>
            </w: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640,528</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687,537</w:t>
            </w:r>
          </w:p>
        </w:tc>
        <w:tc>
          <w:tcPr>
            <w:tcW w:w="0" w:type="dxa"/>
            <w:vAlign w:val="bottom"/>
          </w:tcPr>
          <w:p>
            <w:pPr>
              <w:spacing w:after="0"/>
              <w:rPr>
                <w:sz w:val="1"/>
                <w:szCs w:val="1"/>
                <w:color w:val="auto"/>
              </w:rPr>
            </w:pPr>
          </w:p>
        </w:tc>
      </w:tr>
      <w:tr>
        <w:trPr>
          <w:trHeight w:val="237"/>
        </w:trPr>
        <w:tc>
          <w:tcPr>
            <w:tcW w:w="85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890,741</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858,457</w:t>
            </w:r>
          </w:p>
        </w:tc>
        <w:tc>
          <w:tcPr>
            <w:tcW w:w="0" w:type="dxa"/>
            <w:vAlign w:val="bottom"/>
          </w:tcPr>
          <w:p>
            <w:pPr>
              <w:spacing w:after="0"/>
              <w:rPr>
                <w:sz w:val="1"/>
                <w:szCs w:val="1"/>
                <w:color w:val="auto"/>
              </w:rPr>
            </w:pPr>
          </w:p>
        </w:tc>
      </w:tr>
      <w:tr>
        <w:trPr>
          <w:trHeight w:val="34"/>
        </w:trPr>
        <w:tc>
          <w:tcPr>
            <w:tcW w:w="8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Agios Pharmaceuticals,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share and per share data) Years Ended December 31: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Product revenue, net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59,851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13,841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Collaboration revenue – related party</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39,257</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60,661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41,074</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Collaboration revenue – other</w:t>
            </w:r>
          </w:p>
        </w:tc>
        <w:tc>
          <w:tcPr>
            <w:tcW w:w="4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8,262</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12,670</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revenue – related party</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10,542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7,215</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1,937</w:t>
            </w:r>
          </w:p>
        </w:tc>
      </w:tr>
      <w:tr>
        <w:trPr>
          <w:trHeight w:val="237"/>
        </w:trPr>
        <w:tc>
          <w:tcPr>
            <w:tcW w:w="70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117,912</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94,387</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43,011</w:t>
            </w:r>
          </w:p>
        </w:tc>
      </w:tr>
      <w:tr>
        <w:trPr>
          <w:trHeight w:val="27"/>
        </w:trPr>
        <w:tc>
          <w:tcPr>
            <w:tcW w:w="7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1,397</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410,894</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341,324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292,681</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132,034</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114,145</w:t>
            </w:r>
          </w:p>
        </w:tc>
        <w:tc>
          <w:tcPr>
            <w:tcW w:w="3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71,124</w:t>
            </w:r>
          </w:p>
        </w:tc>
      </w:tr>
      <w:tr>
        <w:trPr>
          <w:trHeight w:val="27"/>
        </w:trPr>
        <w:tc>
          <w:tcPr>
            <w:tcW w:w="7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cost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544,245</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456,866</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363,805</w:t>
            </w:r>
          </w:p>
        </w:tc>
      </w:tr>
      <w:tr>
        <w:trPr>
          <w:trHeight w:val="237"/>
        </w:trPr>
        <w:tc>
          <w:tcPr>
            <w:tcW w:w="70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(426,333)</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(362,479)</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(320,794)</w:t>
            </w:r>
          </w:p>
        </w:tc>
      </w:tr>
      <w:tr>
        <w:trPr>
          <w:trHeight w:val="27"/>
        </w:trPr>
        <w:tc>
          <w:tcPr>
            <w:tcW w:w="7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14,861</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16,451</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6,124</w:t>
            </w:r>
          </w:p>
        </w:tc>
      </w:tr>
      <w:tr>
        <w:trPr>
          <w:trHeight w:val="237"/>
        </w:trPr>
        <w:tc>
          <w:tcPr>
            <w:tcW w:w="70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(411,472)</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(346,028)</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(314,670)</w:t>
            </w:r>
          </w:p>
        </w:tc>
      </w:tr>
      <w:tr>
        <w:trPr>
          <w:trHeight w:val="34"/>
        </w:trPr>
        <w:tc>
          <w:tcPr>
            <w:tcW w:w="7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r>
      <w:tr>
        <w:trPr>
          <w:trHeight w:val="222"/>
        </w:trPr>
        <w:tc>
          <w:tcPr>
            <w:tcW w:w="7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Weighted-average number of common shares used in computing net loss per share – basic and</w:t>
            </w: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59,994,539</w:t>
            </w:r>
          </w:p>
        </w:tc>
        <w:tc>
          <w:tcPr>
            <w:tcW w:w="34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57,418,300</w:t>
            </w:r>
          </w:p>
        </w:tc>
        <w:tc>
          <w:tcPr>
            <w:tcW w:w="34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46,587,631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0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Total research and development expenses are net of cost reimbursements from related party of $0, $0, and $7,811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Agios Pharmaceuticals,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Comprehensive Loss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Years Ended December 31:</w:t>
            </w:r>
          </w:p>
        </w:tc>
        <w:tc>
          <w:tcPr>
            <w:tcW w:w="1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(411,472)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(346,028)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(314,670)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available-for-sale securities</w:t>
            </w:r>
          </w:p>
        </w:tc>
        <w:tc>
          <w:tcPr>
            <w:tcW w:w="1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2,373</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Comprehensive loss</w:t>
            </w:r>
          </w:p>
        </w:tc>
        <w:tc>
          <w:tcPr>
            <w:tcW w:w="1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(409,099)</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(346,810)</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(315,746)</w:t>
            </w:r>
          </w:p>
        </w:tc>
      </w:tr>
      <w:tr>
        <w:trPr>
          <w:trHeight w:val="34"/>
        </w:trPr>
        <w:tc>
          <w:tcPr>
            <w:tcW w:w="5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Agios Pharmaceuticals,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Stockholders’ Equity</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238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6"/>
                <w:szCs w:val="16"/>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vMerge w:val="restart"/>
          </w:tcPr>
          <w:p>
            <w:pPr>
              <w:jc w:val="right"/>
              <w:ind w:right="360"/>
              <w:spacing w:after="0" w:line="113" w:lineRule="exact"/>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4"/>
                <w:szCs w:val="4"/>
                <w:color w:val="auto"/>
              </w:rPr>
            </w:pPr>
          </w:p>
        </w:tc>
        <w:tc>
          <w:tcPr>
            <w:tcW w:w="1200" w:type="dxa"/>
            <w:vAlign w:val="bottom"/>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280" w:type="dxa"/>
            <w:vAlign w:val="bottom"/>
          </w:tcPr>
          <w:p>
            <w:pPr>
              <w:spacing w:after="0"/>
              <w:rPr>
                <w:sz w:val="4"/>
                <w:szCs w:val="4"/>
                <w:color w:val="auto"/>
              </w:rPr>
            </w:pPr>
          </w:p>
        </w:tc>
        <w:tc>
          <w:tcPr>
            <w:tcW w:w="1140" w:type="dxa"/>
            <w:vAlign w:val="bottom"/>
            <w:vMerge w:val="restart"/>
          </w:tcPr>
          <w:p>
            <w:pPr>
              <w:jc w:val="right"/>
              <w:ind w:right="180"/>
              <w:spacing w:after="0" w:line="113"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4"/>
                <w:szCs w:val="4"/>
                <w:color w:val="auto"/>
              </w:rPr>
            </w:pPr>
          </w:p>
        </w:tc>
        <w:tc>
          <w:tcPr>
            <w:tcW w:w="1160" w:type="dxa"/>
            <w:vAlign w:val="bottom"/>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13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share amounts)</w:t>
            </w:r>
          </w:p>
        </w:tc>
        <w:tc>
          <w:tcPr>
            <w:tcW w:w="13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2016</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42,220,444</w:t>
            </w:r>
          </w:p>
        </w:tc>
        <w:tc>
          <w:tcPr>
            <w:tcW w:w="10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842,013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(483,151)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358,591</w:t>
            </w:r>
          </w:p>
        </w:tc>
        <w:tc>
          <w:tcPr>
            <w:tcW w:w="0" w:type="dxa"/>
            <w:vAlign w:val="bottom"/>
          </w:tcPr>
          <w:p>
            <w:pPr>
              <w:spacing w:after="0"/>
              <w:rPr>
                <w:sz w:val="1"/>
                <w:szCs w:val="1"/>
                <w:color w:val="auto"/>
              </w:rPr>
            </w:pPr>
          </w:p>
        </w:tc>
      </w:tr>
      <w:tr>
        <w:trPr>
          <w:trHeight w:val="220"/>
        </w:trPr>
        <w:tc>
          <w:tcPr>
            <w:tcW w:w="2880" w:type="dxa"/>
            <w:vAlign w:val="bottom"/>
          </w:tcPr>
          <w:p>
            <w:pPr>
              <w:ind w:left="340"/>
              <w:spacing w:after="0"/>
              <w:rPr>
                <w:sz w:val="20"/>
                <w:szCs w:val="20"/>
                <w:color w:val="auto"/>
              </w:rPr>
            </w:pPr>
            <w:r>
              <w:rPr>
                <w:rFonts w:ascii="Arial" w:cs="Arial" w:eastAsia="Arial" w:hAnsi="Arial"/>
                <w:sz w:val="16"/>
                <w:szCs w:val="16"/>
                <w:color w:val="auto"/>
                <w:w w:val="97"/>
              </w:rPr>
              <w:t>Unrealized loss on available-for-sale</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securities</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(1,076)</w:t>
            </w:r>
          </w:p>
        </w:tc>
        <w:tc>
          <w:tcPr>
            <w:tcW w:w="280" w:type="dxa"/>
            <w:vAlign w:val="bottom"/>
          </w:tcPr>
          <w:p>
            <w:pPr>
              <w:spacing w:after="0"/>
              <w:rPr>
                <w:sz w:val="17"/>
                <w:szCs w:val="17"/>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(314,670)</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(314,670)</w:t>
            </w:r>
          </w:p>
        </w:tc>
        <w:tc>
          <w:tcPr>
            <w:tcW w:w="0" w:type="dxa"/>
            <w:vAlign w:val="bottom"/>
          </w:tcPr>
          <w:p>
            <w:pPr>
              <w:spacing w:after="0"/>
              <w:rPr>
                <w:sz w:val="1"/>
                <w:szCs w:val="1"/>
                <w:color w:val="auto"/>
              </w:rPr>
            </w:pPr>
          </w:p>
        </w:tc>
      </w:tr>
      <w:tr>
        <w:trPr>
          <w:trHeight w:val="224"/>
        </w:trPr>
        <w:tc>
          <w:tcPr>
            <w:tcW w:w="2880" w:type="dxa"/>
            <w:vAlign w:val="bottom"/>
          </w:tcPr>
          <w:p>
            <w:pPr>
              <w:ind w:left="340"/>
              <w:spacing w:after="0"/>
              <w:rPr>
                <w:sz w:val="20"/>
                <w:szCs w:val="20"/>
                <w:color w:val="auto"/>
              </w:rPr>
            </w:pPr>
            <w:r>
              <w:rPr>
                <w:rFonts w:ascii="Arial" w:cs="Arial" w:eastAsia="Arial" w:hAnsi="Arial"/>
                <w:sz w:val="16"/>
                <w:szCs w:val="16"/>
                <w:color w:val="auto"/>
                <w:w w:val="97"/>
              </w:rPr>
              <w:t>Stock-based compensation expense</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47,809</w:t>
            </w:r>
          </w:p>
        </w:tc>
        <w:tc>
          <w:tcPr>
            <w:tcW w:w="2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47,809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Issuance of common stock under stock</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incentive and employee stock</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plans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797,629</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14,189</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14,190</w:t>
            </w:r>
          </w:p>
        </w:tc>
        <w:tc>
          <w:tcPr>
            <w:tcW w:w="0" w:type="dxa"/>
            <w:vAlign w:val="bottom"/>
          </w:tcPr>
          <w:p>
            <w:pPr>
              <w:spacing w:after="0"/>
              <w:rPr>
                <w:sz w:val="1"/>
                <w:szCs w:val="1"/>
                <w:color w:val="auto"/>
              </w:rPr>
            </w:pPr>
          </w:p>
        </w:tc>
      </w:tr>
      <w:tr>
        <w:trPr>
          <w:trHeight w:val="220"/>
        </w:trPr>
        <w:tc>
          <w:tcPr>
            <w:tcW w:w="2880" w:type="dxa"/>
            <w:vAlign w:val="bottom"/>
          </w:tcPr>
          <w:p>
            <w:pPr>
              <w:ind w:left="340"/>
              <w:spacing w:after="0"/>
              <w:rPr>
                <w:sz w:val="20"/>
                <w:szCs w:val="20"/>
                <w:color w:val="auto"/>
              </w:rPr>
            </w:pPr>
            <w:r>
              <w:rPr>
                <w:rFonts w:ascii="Arial" w:cs="Arial" w:eastAsia="Arial" w:hAnsi="Arial"/>
                <w:sz w:val="16"/>
                <w:szCs w:val="16"/>
                <w:color w:val="auto"/>
                <w:w w:val="95"/>
              </w:rPr>
              <w:t>Issuance of common stock for follow-</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on offering</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5,808,080</w:t>
            </w:r>
          </w:p>
        </w:tc>
        <w:tc>
          <w:tcPr>
            <w:tcW w:w="108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270,244</w:t>
            </w:r>
          </w:p>
        </w:tc>
        <w:tc>
          <w:tcPr>
            <w:tcW w:w="240" w:type="dxa"/>
            <w:vAlign w:val="bottom"/>
          </w:tcPr>
          <w:p>
            <w:pPr>
              <w:spacing w:after="0"/>
              <w:rPr>
                <w:sz w:val="17"/>
                <w:szCs w:val="17"/>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270,250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649</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7"/>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at December 31, 2017</w:t>
            </w: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48,826,153</w:t>
            </w:r>
          </w:p>
        </w:tc>
        <w:tc>
          <w:tcPr>
            <w:tcW w:w="1080" w:type="dxa"/>
            <w:vAlign w:val="bottom"/>
            <w:tcBorders>
              <w:top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1,174,904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(1,389)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(798,061)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375,503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Unrealized loss on available-for-sale</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securities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24"/>
        </w:trPr>
        <w:tc>
          <w:tcPr>
            <w:tcW w:w="2880" w:type="dxa"/>
            <w:vAlign w:val="bottom"/>
          </w:tcPr>
          <w:p>
            <w:pPr>
              <w:ind w:left="340"/>
              <w:spacing w:after="0"/>
              <w:rPr>
                <w:sz w:val="20"/>
                <w:szCs w:val="20"/>
                <w:color w:val="auto"/>
              </w:rPr>
            </w:pPr>
            <w:r>
              <w:rPr>
                <w:rFonts w:ascii="Arial" w:cs="Arial" w:eastAsia="Arial" w:hAnsi="Arial"/>
                <w:sz w:val="16"/>
                <w:szCs w:val="16"/>
                <w:color w:val="auto"/>
              </w:rPr>
              <w:t>Net loss</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(346,028)</w:t>
            </w: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(346,028)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4"/>
              </w:rPr>
              <w:t>Adjustment to beginning accumulated</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deficit resulting from adoption of ASC</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606</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39,456</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39,456</w:t>
            </w:r>
          </w:p>
        </w:tc>
        <w:tc>
          <w:tcPr>
            <w:tcW w:w="0" w:type="dxa"/>
            <w:vAlign w:val="bottom"/>
          </w:tcPr>
          <w:p>
            <w:pPr>
              <w:spacing w:after="0"/>
              <w:rPr>
                <w:sz w:val="1"/>
                <w:szCs w:val="1"/>
                <w:color w:val="auto"/>
              </w:rPr>
            </w:pPr>
          </w:p>
        </w:tc>
      </w:tr>
      <w:tr>
        <w:trPr>
          <w:trHeight w:val="224"/>
        </w:trPr>
        <w:tc>
          <w:tcPr>
            <w:tcW w:w="2880" w:type="dxa"/>
            <w:vAlign w:val="bottom"/>
          </w:tcPr>
          <w:p>
            <w:pPr>
              <w:ind w:left="340"/>
              <w:spacing w:after="0"/>
              <w:rPr>
                <w:sz w:val="20"/>
                <w:szCs w:val="20"/>
                <w:color w:val="auto"/>
              </w:rPr>
            </w:pPr>
            <w:r>
              <w:rPr>
                <w:rFonts w:ascii="Arial" w:cs="Arial" w:eastAsia="Arial" w:hAnsi="Arial"/>
                <w:sz w:val="16"/>
                <w:szCs w:val="16"/>
                <w:color w:val="auto"/>
                <w:w w:val="97"/>
              </w:rPr>
              <w:t>Stock-based compensation expense</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73,357</w:t>
            </w:r>
          </w:p>
        </w:tc>
        <w:tc>
          <w:tcPr>
            <w:tcW w:w="2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73,357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Issuance of common stock under stock</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incentive and employee stock</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plans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1,239,514</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30,215</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30,216</w:t>
            </w:r>
          </w:p>
        </w:tc>
        <w:tc>
          <w:tcPr>
            <w:tcW w:w="0" w:type="dxa"/>
            <w:vAlign w:val="bottom"/>
          </w:tcPr>
          <w:p>
            <w:pPr>
              <w:spacing w:after="0"/>
              <w:rPr>
                <w:sz w:val="1"/>
                <w:szCs w:val="1"/>
                <w:color w:val="auto"/>
              </w:rPr>
            </w:pPr>
          </w:p>
        </w:tc>
      </w:tr>
      <w:tr>
        <w:trPr>
          <w:trHeight w:val="220"/>
        </w:trPr>
        <w:tc>
          <w:tcPr>
            <w:tcW w:w="2880" w:type="dxa"/>
            <w:vAlign w:val="bottom"/>
          </w:tcPr>
          <w:p>
            <w:pPr>
              <w:ind w:left="340"/>
              <w:spacing w:after="0"/>
              <w:rPr>
                <w:sz w:val="20"/>
                <w:szCs w:val="20"/>
                <w:color w:val="auto"/>
              </w:rPr>
            </w:pPr>
            <w:r>
              <w:rPr>
                <w:rFonts w:ascii="Arial" w:cs="Arial" w:eastAsia="Arial" w:hAnsi="Arial"/>
                <w:sz w:val="16"/>
                <w:szCs w:val="16"/>
                <w:color w:val="auto"/>
                <w:w w:val="95"/>
              </w:rPr>
              <w:t>Issuance of common stock for follow-</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on offering</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8,152,986</w:t>
            </w:r>
          </w:p>
        </w:tc>
        <w:tc>
          <w:tcPr>
            <w:tcW w:w="108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516,198</w:t>
            </w:r>
          </w:p>
        </w:tc>
        <w:tc>
          <w:tcPr>
            <w:tcW w:w="240" w:type="dxa"/>
            <w:vAlign w:val="bottom"/>
          </w:tcPr>
          <w:p>
            <w:pPr>
              <w:spacing w:after="0"/>
              <w:rPr>
                <w:sz w:val="17"/>
                <w:szCs w:val="17"/>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516,206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7"/>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at December 31, 2018</w:t>
            </w:r>
          </w:p>
        </w:tc>
        <w:tc>
          <w:tcPr>
            <w:tcW w:w="1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58,218,653</w:t>
            </w:r>
          </w:p>
        </w:tc>
        <w:tc>
          <w:tcPr>
            <w:tcW w:w="1080" w:type="dxa"/>
            <w:vAlign w:val="bottom"/>
            <w:tcBorders>
              <w:top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1,794,283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(2,171)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(1,104,633)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687,537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Unrealized gain on available-for-sale</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securities</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2,373</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24"/>
        </w:trPr>
        <w:tc>
          <w:tcPr>
            <w:tcW w:w="2880" w:type="dxa"/>
            <w:vAlign w:val="bottom"/>
          </w:tcPr>
          <w:p>
            <w:pPr>
              <w:ind w:left="340"/>
              <w:spacing w:after="0"/>
              <w:rPr>
                <w:sz w:val="20"/>
                <w:szCs w:val="20"/>
                <w:color w:val="auto"/>
              </w:rPr>
            </w:pPr>
            <w:r>
              <w:rPr>
                <w:rFonts w:ascii="Arial" w:cs="Arial" w:eastAsia="Arial" w:hAnsi="Arial"/>
                <w:sz w:val="16"/>
                <w:szCs w:val="16"/>
                <w:color w:val="auto"/>
              </w:rPr>
              <w:t>Net loss</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(411,472)</w:t>
            </w:r>
          </w:p>
        </w:tc>
        <w:tc>
          <w:tcPr>
            <w:tcW w:w="2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(411,472)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7"/>
              </w:rPr>
              <w:t>Stock-based compensation expense</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72,373</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72,373</w:t>
            </w:r>
          </w:p>
        </w:tc>
        <w:tc>
          <w:tcPr>
            <w:tcW w:w="0" w:type="dxa"/>
            <w:vAlign w:val="bottom"/>
          </w:tcPr>
          <w:p>
            <w:pPr>
              <w:spacing w:after="0"/>
              <w:rPr>
                <w:sz w:val="1"/>
                <w:szCs w:val="1"/>
                <w:color w:val="auto"/>
              </w:rPr>
            </w:pPr>
          </w:p>
        </w:tc>
      </w:tr>
      <w:tr>
        <w:trPr>
          <w:trHeight w:val="220"/>
        </w:trPr>
        <w:tc>
          <w:tcPr>
            <w:tcW w:w="2880" w:type="dxa"/>
            <w:vAlign w:val="bottom"/>
          </w:tcPr>
          <w:p>
            <w:pPr>
              <w:ind w:left="340"/>
              <w:spacing w:after="0"/>
              <w:rPr>
                <w:sz w:val="20"/>
                <w:szCs w:val="20"/>
                <w:color w:val="auto"/>
              </w:rPr>
            </w:pPr>
            <w:r>
              <w:rPr>
                <w:rFonts w:ascii="Arial" w:cs="Arial" w:eastAsia="Arial" w:hAnsi="Arial"/>
                <w:sz w:val="16"/>
                <w:szCs w:val="16"/>
                <w:color w:val="auto"/>
                <w:w w:val="91"/>
              </w:rPr>
              <w:t>Issuance of common stock under stock</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340"/>
              <w:spacing w:after="0"/>
              <w:rPr>
                <w:sz w:val="20"/>
                <w:szCs w:val="20"/>
                <w:color w:val="auto"/>
              </w:rPr>
            </w:pPr>
            <w:r>
              <w:rPr>
                <w:rFonts w:ascii="Arial" w:cs="Arial" w:eastAsia="Arial" w:hAnsi="Arial"/>
                <w:sz w:val="16"/>
                <w:szCs w:val="16"/>
                <w:color w:val="auto"/>
              </w:rPr>
              <w:t>incentive and employee stock</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purchase plans</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694,952</w:t>
            </w:r>
          </w:p>
        </w:tc>
        <w:tc>
          <w:tcPr>
            <w:tcW w:w="108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12,515</w:t>
            </w:r>
          </w:p>
        </w:tc>
        <w:tc>
          <w:tcPr>
            <w:tcW w:w="240" w:type="dxa"/>
            <w:vAlign w:val="bottom"/>
          </w:tcPr>
          <w:p>
            <w:pPr>
              <w:spacing w:after="0"/>
              <w:rPr>
                <w:sz w:val="17"/>
                <w:szCs w:val="17"/>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12,516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Issuance of common stock for follow-</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on offering</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9,487,500</w:t>
            </w:r>
          </w:p>
        </w:tc>
        <w:tc>
          <w:tcPr>
            <w:tcW w:w="1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277,192</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277,201</w:t>
            </w:r>
          </w:p>
        </w:tc>
        <w:tc>
          <w:tcPr>
            <w:tcW w:w="0" w:type="dxa"/>
            <w:vAlign w:val="bottom"/>
          </w:tcPr>
          <w:p>
            <w:pPr>
              <w:spacing w:after="0"/>
              <w:rPr>
                <w:sz w:val="1"/>
                <w:szCs w:val="1"/>
                <w:color w:val="auto"/>
              </w:rPr>
            </w:pPr>
          </w:p>
        </w:tc>
      </w:tr>
      <w:tr>
        <w:trPr>
          <w:trHeight w:val="224"/>
        </w:trPr>
        <w:tc>
          <w:tcPr>
            <w:tcW w:w="2880" w:type="dxa"/>
            <w:vAlign w:val="bottom"/>
          </w:tcPr>
          <w:p>
            <w:pPr>
              <w:ind w:left="340"/>
              <w:spacing w:after="0"/>
              <w:rPr>
                <w:sz w:val="20"/>
                <w:szCs w:val="20"/>
                <w:color w:val="auto"/>
              </w:rPr>
            </w:pPr>
            <w:r>
              <w:rPr>
                <w:rFonts w:ascii="Arial" w:cs="Arial" w:eastAsia="Arial" w:hAnsi="Arial"/>
                <w:sz w:val="16"/>
                <w:szCs w:val="16"/>
                <w:color w:val="auto"/>
              </w:rPr>
              <w:t>Other</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68,401,105</w:t>
            </w:r>
          </w:p>
        </w:tc>
        <w:tc>
          <w:tcPr>
            <w:tcW w:w="10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2,156,363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(1,516,105)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640,528</w:t>
            </w:r>
          </w:p>
        </w:tc>
        <w:tc>
          <w:tcPr>
            <w:tcW w:w="0" w:type="dxa"/>
            <w:vAlign w:val="bottom"/>
          </w:tcPr>
          <w:p>
            <w:pPr>
              <w:spacing w:after="0"/>
              <w:rPr>
                <w:sz w:val="1"/>
                <w:szCs w:val="1"/>
                <w:color w:val="auto"/>
              </w:rPr>
            </w:pPr>
          </w:p>
        </w:tc>
      </w:tr>
      <w:tr>
        <w:trPr>
          <w:trHeight w:val="27"/>
        </w:trPr>
        <w:tc>
          <w:tcPr>
            <w:tcW w:w="28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Agios Pharmaceuticals,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Years Ended December 31:</w:t>
            </w: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6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17"/>
        </w:trPr>
        <w:tc>
          <w:tcPr>
            <w:tcW w:w="6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(411,472)</w:t>
            </w:r>
          </w:p>
        </w:tc>
        <w:tc>
          <w:tcPr>
            <w:tcW w:w="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(346,028)</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(314,670)</w:t>
            </w:r>
          </w:p>
        </w:tc>
      </w:tr>
      <w:tr>
        <w:trPr>
          <w:trHeight w:val="33"/>
        </w:trPr>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64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8,087</w:t>
            </w:r>
          </w:p>
        </w:tc>
        <w:tc>
          <w:tcPr>
            <w:tcW w:w="4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7,172</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6,432</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72,373</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73,357</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47,809</w:t>
            </w:r>
          </w:p>
        </w:tc>
      </w:tr>
      <w:tr>
        <w:trPr>
          <w:trHeight w:val="224"/>
        </w:trPr>
        <w:tc>
          <w:tcPr>
            <w:tcW w:w="6440" w:type="dxa"/>
            <w:vAlign w:val="bottom"/>
          </w:tcPr>
          <w:p>
            <w:pPr>
              <w:ind w:left="340"/>
              <w:spacing w:after="0"/>
              <w:rPr>
                <w:sz w:val="20"/>
                <w:szCs w:val="20"/>
                <w:color w:val="auto"/>
              </w:rPr>
            </w:pPr>
            <w:r>
              <w:rPr>
                <w:rFonts w:ascii="Arial" w:cs="Arial" w:eastAsia="Arial" w:hAnsi="Arial"/>
                <w:sz w:val="16"/>
                <w:szCs w:val="16"/>
                <w:color w:val="auto"/>
              </w:rPr>
              <w:t>Net accretion of discount on marketable securities</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(3,195)</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(3,837)</w:t>
            </w:r>
          </w:p>
        </w:tc>
        <w:tc>
          <w:tcPr>
            <w:tcW w:w="4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1,052</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24"/>
        </w:trPr>
        <w:tc>
          <w:tcPr>
            <w:tcW w:w="6440" w:type="dxa"/>
            <w:vAlign w:val="bottom"/>
          </w:tcPr>
          <w:p>
            <w:pPr>
              <w:ind w:left="340"/>
              <w:spacing w:after="0"/>
              <w:rPr>
                <w:sz w:val="20"/>
                <w:szCs w:val="20"/>
                <w:color w:val="auto"/>
              </w:rPr>
            </w:pPr>
            <w:r>
              <w:rPr>
                <w:rFonts w:ascii="Arial" w:cs="Arial" w:eastAsia="Arial" w:hAnsi="Arial"/>
                <w:sz w:val="16"/>
                <w:szCs w:val="16"/>
                <w:color w:val="auto"/>
              </w:rPr>
              <w:t>Non-cash operating lease expense</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8,532</w:t>
            </w:r>
          </w:p>
        </w:tc>
        <w:tc>
          <w:tcPr>
            <w:tcW w:w="4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(3,876)</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(5,076)</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Collaboration receivable – related party</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923</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2,438</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Collaboration receivable – other</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(670)</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Royalty receivable – related party</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(1,012)</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(6,462)</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(869)</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and non-current assets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(7,742)</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1,148</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(3,600)</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3,716</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(5,488)</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5,329</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expenses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7,233</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8,623</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1,522</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Deferred revenue – related party</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(31,006)</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(31,665)</w:t>
            </w:r>
          </w:p>
        </w:tc>
        <w:tc>
          <w:tcPr>
            <w:tcW w:w="4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(26,570)</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Operating lease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(6,861)</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Deferred rent</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(2,729)</w:t>
            </w:r>
          </w:p>
        </w:tc>
      </w:tr>
      <w:tr>
        <w:trPr>
          <w:trHeight w:val="33"/>
        </w:trPr>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6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(370,622)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(304,421)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(285,232)</w:t>
            </w:r>
          </w:p>
        </w:tc>
      </w:tr>
      <w:tr>
        <w:trPr>
          <w:trHeight w:val="217"/>
        </w:trPr>
        <w:tc>
          <w:tcPr>
            <w:tcW w:w="64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(488,566)</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(933,320)</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(688,702)</w:t>
            </w:r>
          </w:p>
        </w:tc>
      </w:tr>
      <w:tr>
        <w:trPr>
          <w:trHeight w:val="224"/>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maturities and sales of marketable securities</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592,177</w:t>
            </w:r>
          </w:p>
        </w:tc>
        <w:tc>
          <w:tcPr>
            <w:tcW w:w="4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666,481</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635,421</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(12,171)</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(6,986)</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(4,627)</w:t>
            </w:r>
          </w:p>
        </w:tc>
      </w:tr>
      <w:tr>
        <w:trPr>
          <w:trHeight w:val="217"/>
        </w:trPr>
        <w:tc>
          <w:tcPr>
            <w:tcW w:w="644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91,440</w:t>
            </w: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(273,825)</w:t>
            </w: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(57,908)</w:t>
            </w:r>
          </w:p>
        </w:tc>
      </w:tr>
      <w:tr>
        <w:trPr>
          <w:trHeight w:val="33"/>
        </w:trPr>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6440" w:type="dxa"/>
            <w:vAlign w:val="bottom"/>
          </w:tcPr>
          <w:p>
            <w:pPr>
              <w:ind w:left="20"/>
              <w:spacing w:after="0"/>
              <w:rPr>
                <w:sz w:val="20"/>
                <w:szCs w:val="20"/>
                <w:color w:val="auto"/>
              </w:rPr>
            </w:pPr>
            <w:r>
              <w:rPr>
                <w:rFonts w:ascii="Arial" w:cs="Arial" w:eastAsia="Arial" w:hAnsi="Arial"/>
                <w:sz w:val="16"/>
                <w:szCs w:val="16"/>
                <w:color w:val="auto"/>
              </w:rPr>
              <w:t>Payments on financing lease obligations</w:t>
            </w:r>
          </w:p>
        </w:tc>
        <w:tc>
          <w:tcPr>
            <w:tcW w:w="10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public offering of common stock, net of reimbursements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277,201</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516,206</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270,250</w:t>
            </w:r>
          </w:p>
        </w:tc>
      </w:tr>
      <w:tr>
        <w:trPr>
          <w:trHeight w:val="224"/>
        </w:trPr>
        <w:tc>
          <w:tcPr>
            <w:tcW w:w="6440" w:type="dxa"/>
            <w:vAlign w:val="bottom"/>
          </w:tcPr>
          <w:p>
            <w:pPr>
              <w:ind w:left="20"/>
              <w:spacing w:after="0"/>
              <w:rPr>
                <w:sz w:val="20"/>
                <w:szCs w:val="20"/>
                <w:color w:val="auto"/>
              </w:rPr>
            </w:pPr>
            <w:r>
              <w:rPr>
                <w:rFonts w:ascii="Arial" w:cs="Arial" w:eastAsia="Arial" w:hAnsi="Arial"/>
                <w:sz w:val="16"/>
                <w:szCs w:val="16"/>
                <w:color w:val="auto"/>
              </w:rPr>
              <w:t>Reimbursement (payment) of public offering costs</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(391)</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638</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stock option exercises and employee stock purchase plan</w:t>
            </w:r>
          </w:p>
        </w:tc>
        <w:tc>
          <w:tcPr>
            <w:tcW w:w="10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12,523</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30,209</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14,222</w:t>
            </w:r>
          </w:p>
        </w:tc>
      </w:tr>
      <w:tr>
        <w:trPr>
          <w:trHeight w:val="217"/>
        </w:trPr>
        <w:tc>
          <w:tcPr>
            <w:tcW w:w="644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289,611</w:t>
            </w: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546,024</w:t>
            </w: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285,110</w:t>
            </w:r>
          </w:p>
        </w:tc>
      </w:tr>
      <w:tr>
        <w:trPr>
          <w:trHeight w:val="33"/>
        </w:trPr>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10,429</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(32,222)</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(58,030)</w:t>
            </w:r>
          </w:p>
        </w:tc>
      </w:tr>
      <w:tr>
        <w:trPr>
          <w:trHeight w:val="224"/>
        </w:trPr>
        <w:tc>
          <w:tcPr>
            <w:tcW w:w="64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10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70,502</w:t>
            </w:r>
          </w:p>
        </w:tc>
        <w:tc>
          <w:tcPr>
            <w:tcW w:w="4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102,724</w:t>
            </w: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160,754</w:t>
            </w:r>
          </w:p>
        </w:tc>
      </w:tr>
      <w:tr>
        <w:trPr>
          <w:trHeight w:val="33"/>
        </w:trPr>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2"/>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80,931</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70,502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102,724</w:t>
            </w:r>
          </w:p>
        </w:tc>
      </w:tr>
      <w:tr>
        <w:trPr>
          <w:trHeight w:val="224"/>
        </w:trPr>
        <w:tc>
          <w:tcPr>
            <w:tcW w:w="64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transactions:</w:t>
            </w:r>
          </w:p>
        </w:tc>
        <w:tc>
          <w:tcPr>
            <w:tcW w:w="10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Additions to property and equipment in accounts payable and accrued expenses</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5,168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1,011</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Proceeds from stock option exercises in other current assets</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Operating lease liabilities arising from obtaining operating lease assets</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42,322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440" w:type="dxa"/>
            <w:vAlign w:val="bottom"/>
          </w:tcPr>
          <w:p>
            <w:pPr>
              <w:ind w:left="540"/>
              <w:spacing w:after="0"/>
              <w:rPr>
                <w:sz w:val="20"/>
                <w:szCs w:val="20"/>
                <w:color w:val="auto"/>
              </w:rPr>
            </w:pPr>
            <w:r>
              <w:rPr>
                <w:rFonts w:ascii="Arial" w:cs="Arial" w:eastAsia="Arial" w:hAnsi="Arial"/>
                <w:sz w:val="16"/>
                <w:szCs w:val="16"/>
                <w:color w:val="auto"/>
              </w:rPr>
              <w:t>Financing lease liabilities arising from obtaining financing lease assets</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1,052</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Agios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References to Agios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this Annual Report on Form 10-K, “we,” “us,” and “our,” and similar expressions, except where the context requires otherwise, refer to Agios Pharmaceuticals, Inc. and its consolidated subsidiaries, and “our board of directors” refers to the board of directors of Agios Pharmaceuticals,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biopharmaceutical company committed to the fundamental transformation of patients’ lives through scientific leadership in the field of cellular metabolism and adjacent areas of biology, with the goal of creating differentiated, small molecule medicines for patients in the areas of hematologic malignancies, solid tumors and rare genetic diseases, or RGDs. To address these focus areas, we take a systems biology approach to deeply understand disease states, drive the discovery and validation of novel therapeutic targets, and define patient selection strategies, thereby increasing the probability that our experimental medicines will have the desired therapeutic effect. We are located in Cambridge, Massachusetts.</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wholly-owned product, TIBSOVO® (ivosidenib) is an oral targeted inhibitor of the mutated isocitrate dehydrogenase 1, or IDH1 enzyme. TIBSOVO® is the first and only U.S. Food and Drug Administration, or FDA-approved therapy for the treatment of adult patients with (i) relapsed or refractory acute myeloid leukemia, or R/R AML, with a susceptible IDH1 mutation as detected by an FDA-approved test (approved by the FDA in July 2018) and (ii) newly diagnosed AML with a susceptible IDH1 mutation as detected by an FDA-approved test who are at least 75 years old or who have comorbidities that preclude use of intensive induction chemotherapy (approved by the FDA in May 2019). In December 2018, we submitted an Marketing Authorization Application, or MAA, to the European Medicines Agency, or EMA, for TIBSOVO® for the treatment of adult patients with R/R AML with an IDH1 mutation.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other marketed product is IDHIFA® (enasidenib), an oral targeted inhibitor of the mutated isocitrate dehydrogenase 2, or IDH2 enzyme and the first and only FDA-approved therapy for patients with R/R AML and an IDH2 mutation. In August 2017, the FDA granted our collaboration partner Celgene approval of IDHIFA® for the treatment of adult patients with R/R AML and an IDH2, mutation as detected by an FDA-approved test. We are eligible to receive royalties at tiered low-double digit to mid-teen percentage rates on any net sales of IDHIFA® and have exercised our rights to provide up to one-third of the field-based commercialization efforts in the United States. In June 2018, Celgene submitted an MAA to the EMA for IDHIFA® for IDH2 mutant-positive AML which it subsequently withdrew in December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pre-commercial clinical cancer product candidates are vorasidenib, AG-270, and AG-636.</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Vorasidenib is an orally available, selective brain-penetrant pan-IDH mutant inhibitor. We are developing vorasidenib for the treatment of IDH mutant-positive low grade glioma and are currently evaluating vorasidenib in clinical trials.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AG-270 is an orally available selective potent inhibitor of methionine adenosyltransferase 2a, or MAT2A. We are currently evaluating AG-270 in a phase 1 dose-escalation and expansion trial in multiple tumor types carrying a methylthioadenosine phosphorylase, or MTAP, deletion.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AG-636 is an inhibitor of the metabolic enzyme dihydroorotate dehydrogenase, or DHODH. We are currently evaluating AG-636 in the phase 1 dose-escalation trial in lymphoma.</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lead product candidate in our RGD portfolio, mitapivat, is an activator of both wild-type and mutant pyruvate kinase-R for the potential treatment of hemolytic anemias. We are currently evaluating mitapivat for the treatment of pyruvate kinase, or PK, deficiency, thalassemia and sickle cell disease, or SCD, in clinical trials.</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aforementioned development programs, we are seeking to advance a number of early-stage discovery programs in our focus areas of malignant hematology, solid tumors and RGDs based on our scientific leadership in the field of cellular metabolism and adjacent areas of biology.</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risks common to companies in our industry including, but not limited to, uncertainties relating to conducting clinical research and development, the manufacture and supply of products for clinical and commercial use, obtaining and maintaining regulatory approvals and pricing and reimbursement for our products, market acceptance, managing global growth and operating expenses, availability of additional capital, competition, obtaining and enforcing patents, stock price volatility, dependence on collaborative relationships and third-party service providers, dependence on key personnel, potential litigation, product liability claims and government investigations.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2019, we completed a public offering of 8,250,000 shares of common at an offering price of $31.00 per share. We received net proceeds from this offering of $241.0 million, after deducting underwriting discounts and commissions paid by us. In addition, we granted the underwriters the right to purchase up to an additional 1,237,500 shares of common stock, which was exercised in November 2019, resulting in additional net proceeds to us of $36.2 million, after underwriting discounts and commissions. After giving effect to the full exercise of the over-allotment option, the number of shares sold by us in the public offering totaled 9,487,500 shares, and net proceeds to us totaled $277.2 million, after underwriting discounts and commissions.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we had cash, cash equivalents and marketable securities of $717.8 million. Although we have incurred recurring losses and expect to continue to incur losses for the foreseeable future, we expect our cash, cash equivalents and marketable securities to be sufficient to fund current operations for at least the next twelve months from the issuance of the financial statements.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consolidated financial statements include our accounts and the accounts of our wholly owned subsidiaries, Agios Securities Corporation, Agios International Sarl, Agios Germany GmbH, Agios Netherlands B.V., and Agios Limited. All intercompany transactions have been eliminated in consolidation. The consolidated financial statements have been prepared in conformity with U.S. generally accepted accounting principles, or U.S. GAAP.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 and expenses during the reporting period. We base our estimates on historical experience and on various other assumptions that are believed to be reasonable under the circumstances.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highly liquid investments with a maturity of three months or less when purchased to be cash equivalents. Cash equivalents are stated at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Marketable securities at December 31, 2019 and 2018 consisted of investments in certificates of deposit, U.S. Treasuries, government securities and corporate debt securities. We determine the appropriate classification of the securities at the time they are acquired and evaluate the appropriateness of such classifications at each balance sheet date. We classify our marketable securities as available-for-sale pursuant to Accounting Standards Codification, or ASC,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Marketable securities are recorded at fair value, with unrealized gains and losses included as a component of accumulated other comprehensive loss in stockholders’ equity and a component of total comprehensive loss in the consolidated statements of comprehensive loss, until realized. Realized gains and losses are included in investment income on a specific-identification basis.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and 2018, we held both current and non-current investments. Investments classified as current have maturities of less than one year. Investments classified as non-current are those that: (i) have a maturity of one to two years, and (ii) we do not intend to liquidate within the next twelve months, although these funds are available for use and therefore classified as available-for-sale.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if we experience a credit loss, have the intent to sell the marketable security, or if it is more likely than not that we will be required to sell the marketable security before recovery of the amortized cost basis. Evidence considered in this assessment includes reasons for the impairment, compliance with our investment policy, the severity and the duration of the impairment, and changes in value subsequent to the end of the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record cash equivalents and marketable securities at fair value.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assets or liabilities.</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Quoted prices for similar assets and liabilities in active markets, quoted prices in markets that are not active, or inputs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6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reflect our own assumptions about the assumptions market participants would use in pricing the asset or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there is little, if any, market activity for the asset or liability at the measurement date.</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financial assets, which include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including both income and market based approaches, and observable market inputs to determine value. After completing our validation procedures, we did not adjust or override any fair value measurements provided by the pricing services as of December 31, 2019 or 2018. Fair value information for these assets, including their classification in the fair value hierarchy is included in Note 3. </w:t>
      </w:r>
      <w:r>
        <w:rPr>
          <w:rFonts w:ascii="Arial" w:cs="Arial" w:eastAsia="Arial" w:hAnsi="Arial"/>
          <w:sz w:val="17"/>
          <w:szCs w:val="17"/>
          <w:i w:val="1"/>
          <w:iCs w:val="1"/>
          <w:color w:val="auto"/>
        </w:rPr>
        <w:t>Fair Value Measurements</w:t>
      </w:r>
      <w:r>
        <w:rPr>
          <w:rFonts w:ascii="Arial" w:cs="Arial" w:eastAsia="Arial" w:hAnsi="Arial"/>
          <w:sz w:val="17"/>
          <w:szCs w:val="17"/>
          <w:b w:val="1"/>
          <w:bCs w:val="1"/>
          <w:color w:val="auto"/>
        </w:rPr>
        <w:t>.</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to the valuation methods during the years ended December 31, 2019 and 2018. We evaluate transfers between levels at the end of each reporting period.</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carrying amounts of collaboration receivable </w:t>
      </w:r>
      <w:r>
        <w:rPr>
          <w:rFonts w:ascii="Arial" w:cs="Arial" w:eastAsia="Arial" w:hAnsi="Arial"/>
          <w:sz w:val="16"/>
          <w:szCs w:val="16"/>
          <w:i w:val="1"/>
          <w:iCs w:val="1"/>
          <w:color w:val="auto"/>
        </w:rPr>
        <w:t>–</w:t>
      </w:r>
      <w:r>
        <w:rPr>
          <w:rFonts w:ascii="Arial" w:cs="Arial" w:eastAsia="Arial" w:hAnsi="Arial"/>
          <w:sz w:val="16"/>
          <w:szCs w:val="16"/>
          <w:color w:val="auto"/>
        </w:rPr>
        <w:t xml:space="preserve"> related party, collaboration receivable </w:t>
      </w:r>
      <w:r>
        <w:rPr>
          <w:rFonts w:ascii="Arial" w:cs="Arial" w:eastAsia="Arial" w:hAnsi="Arial"/>
          <w:sz w:val="16"/>
          <w:szCs w:val="16"/>
          <w:i w:val="1"/>
          <w:iCs w:val="1"/>
          <w:color w:val="auto"/>
        </w:rPr>
        <w:t>–</w:t>
      </w:r>
      <w:r>
        <w:rPr>
          <w:rFonts w:ascii="Arial" w:cs="Arial" w:eastAsia="Arial" w:hAnsi="Arial"/>
          <w:sz w:val="16"/>
          <w:szCs w:val="16"/>
          <w:color w:val="auto"/>
        </w:rPr>
        <w:t xml:space="preserve"> other, royalty receivable </w:t>
      </w:r>
      <w:r>
        <w:rPr>
          <w:rFonts w:ascii="Arial" w:cs="Arial" w:eastAsia="Arial" w:hAnsi="Arial"/>
          <w:sz w:val="16"/>
          <w:szCs w:val="16"/>
          <w:i w:val="1"/>
          <w:iCs w:val="1"/>
          <w:color w:val="auto"/>
        </w:rPr>
        <w:t>–</w:t>
      </w:r>
      <w:r>
        <w:rPr>
          <w:rFonts w:ascii="Arial" w:cs="Arial" w:eastAsia="Arial" w:hAnsi="Arial"/>
          <w:sz w:val="16"/>
          <w:szCs w:val="16"/>
          <w:color w:val="auto"/>
        </w:rPr>
        <w:t xml:space="preserve"> related party, accounts receivable, prepaid expenses and other current assets, accounts payable, and accrued expenses approximate their fair values due to their short-term maturities.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trade accounts receivable arise from product sales and represent amounts due from specialty distributors and specialty pharmacy providers in the U.S. We monitor the financial performance and creditworthiness of our customers so that we can properly assess and respond to changes in their credit profile. We reserve against these receivables for estimated losses that may arise from a customer’s inability to pay. Amounts determined to be uncollectible are charged or written-off against the reserve.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us to credit risk consist primarily of cash, cash equivalents, and marketable securities. We hold these investments in highly rated financial institutions, and, by policy, limit the amounts of credit exposure to any one financial institution. These amounts at times may exceed federally insured limits. We have not experienced any credit losses in such accounts and do not believe we are exposed to any significant credit risk on these funds. We have no off-balance sheet concentrations of credit risk, such as foreign currency exchange contracts, option contracts, or other hedging arrangements.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credit risk on our receivables, including trade receivables from our customers and collaboration and royalty receivables from Celgene and CStone Pharmaceuticals, or CStone. Concentrations of credit risk with respect to receivables, which are typically unsecured, are somewhat mitigated due to the number of customers using our products. Our trade receivables arise from product sales in the U.S. and have standard payment terms that generally require payment within 30 to 60 days. We have evaluated the creditworthiness of our customers, including Celgene, and determined them to be creditworthy. To date we have not experienced any losses with respect to our receivables.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Inventory is stated at the lower of cost or estimated net realizable value on a first-in, first-out basis. Prior to the regulatory approval of our product candidates, we incur expenses for the manufacture of drug product that could potentially be available to support the commercial launch of those products. Until the date at which regulatory approval has been received or is otherwise considered probable, we record all such costs as research and development expenses. Upon approval of our wholly owned product, TIBSOVO®, by the FDA on July 20, 2018 for the treatment of adult patients with R/R AML with susceptible IDH1 mutation as detected by an FDA-approved test, we began to capitalize inventories of TIBSOVO®.</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an assessment of the recoverability of capitalized inventory during each reporting period and write down any excess and obsolete inventory to its estimated net realizable value in the period in which the impairment is first identified. Such impairment charges, should they occur, are recorded as a component of cost of sales in the consolidated statements of operations. The determination of whether inventory costs will be realizable requires the use of estimates by management. If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09" w:name="page110"/>
    <w:bookmarkEnd w:id="109"/>
    <w:p>
      <w:pPr>
        <w:ind w:right="2140"/>
        <w:spacing w:after="0" w:line="402" w:lineRule="auto"/>
        <w:rPr>
          <w:sz w:val="20"/>
          <w:szCs w:val="20"/>
          <w:color w:val="auto"/>
        </w:rPr>
      </w:pPr>
      <w:r>
        <w:rPr>
          <w:rFonts w:ascii="Arial" w:cs="Arial" w:eastAsia="Arial" w:hAnsi="Arial"/>
          <w:sz w:val="18"/>
          <w:szCs w:val="18"/>
          <w:color w:val="auto"/>
        </w:rPr>
        <w:t xml:space="preserve">actual market conditions are less favorable than projected by management, additional write-downs of inventory may be required. </w:t>
      </w:r>
      <w:r>
        <w:rPr>
          <w:rFonts w:ascii="Arial" w:cs="Arial" w:eastAsia="Arial" w:hAnsi="Arial"/>
          <w:sz w:val="18"/>
          <w:szCs w:val="18"/>
          <w:b w:val="1"/>
          <w:bCs w:val="1"/>
          <w:i w:val="1"/>
          <w:iCs w:val="1"/>
          <w:color w:val="auto"/>
        </w:rPr>
        <w:t>Property and equipment</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consist of laboratory equipment, computer equipment and software, leasehold improvements, furniture and fixtures, and office equipment. Costs of major additions and betterment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is stated at cost, and depreciated using the straight-line method over the estimated useful lives of the respective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left="3414"/>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4880" w:type="dxa"/>
            <w:vAlign w:val="bottom"/>
            <w:tcBorders>
              <w:bottom w:val="single" w:sz="8" w:color="CCEEFF"/>
            </w:tcBorders>
            <w:shd w:val="clear" w:color="auto" w:fill="CCEEFF"/>
          </w:tcPr>
          <w:p>
            <w:pPr>
              <w:jc w:val="center"/>
              <w:ind w:left="3414"/>
              <w:spacing w:after="0"/>
              <w:rPr>
                <w:sz w:val="20"/>
                <w:szCs w:val="20"/>
                <w:color w:val="auto"/>
              </w:rPr>
            </w:pPr>
            <w:r>
              <w:rPr>
                <w:rFonts w:ascii="Arial" w:cs="Arial" w:eastAsia="Arial" w:hAnsi="Arial"/>
                <w:sz w:val="18"/>
                <w:szCs w:val="18"/>
                <w:color w:val="auto"/>
                <w:w w:val="99"/>
              </w:rPr>
              <w:t>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4880" w:type="dxa"/>
            <w:vAlign w:val="bottom"/>
          </w:tcPr>
          <w:p>
            <w:pPr>
              <w:jc w:val="center"/>
              <w:ind w:left="3414"/>
              <w:spacing w:after="0"/>
              <w:rPr>
                <w:sz w:val="20"/>
                <w:szCs w:val="20"/>
                <w:color w:val="auto"/>
              </w:rPr>
            </w:pPr>
            <w:r>
              <w:rPr>
                <w:rFonts w:ascii="Arial" w:cs="Arial" w:eastAsia="Arial" w:hAnsi="Arial"/>
                <w:sz w:val="18"/>
                <w:szCs w:val="18"/>
                <w:color w:val="auto"/>
                <w:w w:val="99"/>
              </w:rPr>
              <w:t>3</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880" w:type="dxa"/>
            <w:vAlign w:val="bottom"/>
            <w:tcBorders>
              <w:bottom w:val="single" w:sz="8" w:color="CCEEFF"/>
            </w:tcBorders>
            <w:shd w:val="clear" w:color="auto" w:fill="CCEEFF"/>
          </w:tcPr>
          <w:p>
            <w:pPr>
              <w:jc w:val="center"/>
              <w:ind w:left="3414"/>
              <w:spacing w:after="0"/>
              <w:rPr>
                <w:sz w:val="20"/>
                <w:szCs w:val="20"/>
                <w:color w:val="auto"/>
              </w:rPr>
            </w:pPr>
            <w:r>
              <w:rPr>
                <w:rFonts w:ascii="Arial" w:cs="Arial" w:eastAsia="Arial" w:hAnsi="Arial"/>
                <w:sz w:val="18"/>
                <w:szCs w:val="18"/>
                <w:color w:val="auto"/>
                <w:w w:val="99"/>
              </w:rPr>
              <w:t>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4880" w:type="dxa"/>
            <w:vAlign w:val="bottom"/>
          </w:tcPr>
          <w:p>
            <w:pPr>
              <w:jc w:val="center"/>
              <w:ind w:left="3414"/>
              <w:spacing w:after="0"/>
              <w:rPr>
                <w:sz w:val="20"/>
                <w:szCs w:val="20"/>
                <w:color w:val="auto"/>
              </w:rPr>
            </w:pPr>
            <w:r>
              <w:rPr>
                <w:rFonts w:ascii="Arial" w:cs="Arial" w:eastAsia="Arial" w:hAnsi="Arial"/>
                <w:sz w:val="18"/>
                <w:szCs w:val="18"/>
                <w:color w:val="auto"/>
                <w:w w:val="99"/>
              </w:rPr>
              <w:t>5</w:t>
            </w:r>
          </w:p>
        </w:tc>
      </w:tr>
      <w:tr>
        <w:trPr>
          <w:trHeight w:val="34"/>
        </w:trPr>
        <w:tc>
          <w:tcPr>
            <w:tcW w:w="65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00"/>
        <w:spacing w:after="0" w:line="375" w:lineRule="auto"/>
        <w:rPr>
          <w:sz w:val="20"/>
          <w:szCs w:val="20"/>
          <w:color w:val="auto"/>
        </w:rPr>
      </w:pPr>
      <w:r>
        <w:rPr>
          <w:rFonts w:ascii="Arial" w:cs="Arial" w:eastAsia="Arial" w:hAnsi="Arial"/>
          <w:sz w:val="18"/>
          <w:szCs w:val="18"/>
          <w:color w:val="auto"/>
        </w:rPr>
        <w:t xml:space="preserve">Leasehold improvements are amortized over the lesser of the remaining lease term or the estimated useful life of the improvement. </w:t>
      </w:r>
      <w:r>
        <w:rPr>
          <w:rFonts w:ascii="Arial" w:cs="Arial" w:eastAsia="Arial" w:hAnsi="Arial"/>
          <w:sz w:val="18"/>
          <w:szCs w:val="18"/>
          <w:b w:val="1"/>
          <w:bCs w:val="1"/>
          <w:i w:val="1"/>
          <w:iCs w:val="1"/>
          <w:color w:val="auto"/>
        </w:rPr>
        <w:t>Impairment of long-lived assets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periodically evaluate our long-lived assets for potential impairment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Potential impairment is assessed when there is evidence that events or changes in circumstances indicate that the carrying amount of an asset may not be recovered. Recoverability of these assets is assessed based on the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We did not recognize any impairment charges through December 31,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determine if an arrangement is a lease at inception. An arrangement is determined to contain a lease if the contract conveys the right to control the use of an identified property or equipment for a period of time in exchange for consideration. If we can benefit from the various underlying assets of a lease on their own or together with other resources that are readily available, or if the various underlying assets are neither highly dependent on nor highly interrelated with other underlying assets in the arrangement, they are considered to be a separate lease component. In the event multiple underlying assets are identified, the lease consideration is allocated to the various components based on each of the component’s relative fair value.</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lease assets represent our right to use an underlying asset for the lease term and operating lease liabilities represent our obligation to make lease payments arising from the leasing arrangement. Operating lease assets and operating lease liabilities are recognized at commencement date based on the present value of lease payments over the lease term. As most of our leases do not provide an implicit rate, in determining the operating lease liabilities, we use an estimate of our incremental borrowing rate. The incremental borrowing rate is determined using two alternative credit scoring models to estimate our credit rating, adjusted for collateralization. The calculation of the operating lease assets includes any lease payments made and excludes any lease incentives. Our lease terms may include options to extend or terminate the lease when it is reasonably certain that we will exercise that option.</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operating leases, we record operating lease assets and lease liabilities in our consolidated balance sheets. Lease expense for lease payments is recognized on a straight-line basis over the lease term. Short-term leases, or leases that have a lease term of 12 months or less at commencement date, are excluded from this treatment and are recognized on a straight-line basis over the term of the lease.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material short-term leases or financing leases as of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January 1,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under the modified retrospective method. Prior to January 1, 2018 we accounted for the consideration received under the Collaboration Agreements under ASC 605-25, </w:t>
      </w:r>
      <w:r>
        <w:rPr>
          <w:rFonts w:ascii="Arial" w:cs="Arial" w:eastAsia="Arial" w:hAnsi="Arial"/>
          <w:sz w:val="18"/>
          <w:szCs w:val="18"/>
          <w:i w:val="1"/>
          <w:iCs w:val="1"/>
          <w:color w:val="auto"/>
        </w:rPr>
        <w:t>Multiple Element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10" w:name="page111"/>
    <w:bookmarkEnd w:id="110"/>
    <w:p>
      <w:pPr>
        <w:jc w:val="both"/>
        <w:spacing w:after="0" w:line="264" w:lineRule="auto"/>
        <w:rPr>
          <w:sz w:val="20"/>
          <w:szCs w:val="20"/>
          <w:color w:val="auto"/>
        </w:rPr>
      </w:pPr>
      <w:r>
        <w:rPr>
          <w:rFonts w:ascii="Arial" w:cs="Arial" w:eastAsia="Arial" w:hAnsi="Arial"/>
          <w:sz w:val="18"/>
          <w:szCs w:val="18"/>
          <w:color w:val="auto"/>
        </w:rPr>
        <w:t>In adopting ASC 606, we applied the practical expedient that permits aggregating the effect of all contract modifications that occurred prior to January 1, 2018. No other practical expedients were used. Similar to the accounting under ASC 605-25, the 2016 Agreement was determined to be a modification of the 2010 Agreement and the AG-881 Agreements with Celgene.</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is recognized when the customer obtains control of promised goods or services, in an amount that reflects the consideration that we expect to receive in exchange for those goods or services. To determine revenue recognition for arrangements that we determined to be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will then recognize as revenue the amount of the transaction price that is allocated to the respective performance obligation when (or as) the performance obligation is satisfied.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product revenue from sales of TIBSOVO® to a limited number of specialty distributors and specialty pharmacy providers in the U.S., or collectively, the Customers. The Customers subsequently resell TIBSOVO® to pharmacies or dispense directly to patients. In addition to distribution agreements with Customers, we enter into arrangements with healthcare providers and payors that provide for government-mandated and/or privately-negotiated rebates, chargebacks and discounts with respect to the purchase of TIBSOVO®.</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performance obligation related to the sale of TIBSOVO® is satisfied and revenue is recognized when the Customer obtains control of the product, which occurs at a point in time, typically upon delivery to the Customer.</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product sales are recorded at the net sales price, or transaction price, which includes estimates of variable consideration for which reserves are established and result from contractual adjustments, government rebates, returns and other allowances that are offered within the contracts with our Customers, healthcare providers, payors and other indirect customers relating to the sale of our products.</w:t>
      </w:r>
    </w:p>
    <w:p>
      <w:pPr>
        <w:spacing w:after="0" w:line="7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Contractual adjustments. </w:t>
      </w:r>
      <w:r>
        <w:rPr>
          <w:rFonts w:ascii="Arial" w:cs="Arial" w:eastAsia="Arial" w:hAnsi="Arial"/>
          <w:sz w:val="18"/>
          <w:szCs w:val="18"/>
          <w:color w:val="auto"/>
        </w:rPr>
        <w:t>We generally provide Customers with discounts, including prompt pay discounts, and allowances that are explicitly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contracts and are recorded as a reduction of revenue in the period the related product revenue is recognized.</w:t>
      </w:r>
    </w:p>
    <w:p>
      <w:pPr>
        <w:spacing w:after="0" w:line="6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Chargebacks and discounts represent the estimated obligations resulting from contractual 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estimated using the expected value method, based upon a range of possible outcomes that are probability-weighted for the estimated channel mix and are established in the same period that the related revenue is recognized, resulting in a reduction of product revenue.</w:t>
      </w:r>
    </w:p>
    <w:p>
      <w:pPr>
        <w:spacing w:after="0" w:line="6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Government rebates consist of Medicare, TriCare, and Medicaid rebates, which we estimate using the expected value method,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range of possible outcomes that are probability-weighted for the estimated payor mix. These reserves are recorded in the same period the related revenue is recognized, resulting in a reduction of product revenue. For Medicare, we also estimate the number of patients in the prescription drug coverage gap for whom we will owe an additional liability under the Medicare Part D program.</w:t>
      </w:r>
    </w:p>
    <w:p>
      <w:pPr>
        <w:spacing w:after="0" w:line="6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Returns. </w:t>
      </w:r>
      <w:r>
        <w:rPr>
          <w:rFonts w:ascii="Arial" w:cs="Arial" w:eastAsia="Arial" w:hAnsi="Arial"/>
          <w:sz w:val="18"/>
          <w:szCs w:val="18"/>
          <w:color w:val="auto"/>
        </w:rPr>
        <w:t>We estimate the amount of product sales that may be returned by Customers and record this estimate as a reduction of revenue in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product revenue is recognized. We currently estimate product return liabilities using the expected value method, based on available industry data, including our visibility into the inventory remaining in the distribution channel.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apply the provisions of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when accounting for our collaboration agreements. We evaluate the presentation of amounts due from our collaborative partners associated with activities in the collaborative arrangement based on the nature of each activity. For transactions with customers, we have reported revenues and costs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606-10-55-36 through 55-40, </w:t>
      </w:r>
      <w:r>
        <w:rPr>
          <w:rFonts w:ascii="Arial" w:cs="Arial" w:eastAsia="Arial" w:hAnsi="Arial"/>
          <w:sz w:val="17"/>
          <w:szCs w:val="17"/>
          <w:i w:val="1"/>
          <w:iCs w:val="1"/>
          <w:color w:val="auto"/>
        </w:rPr>
        <w:t>Principal versus Agent Considerations</w:t>
      </w:r>
      <w:r>
        <w:rPr>
          <w:rFonts w:ascii="Arial" w:cs="Arial" w:eastAsia="Arial" w:hAnsi="Arial"/>
          <w:sz w:val="17"/>
          <w:szCs w:val="17"/>
          <w:color w:val="auto"/>
        </w:rPr>
        <w:t>. We recognize revenue when the customer obtains control of promised goods or services, in an amount that reflects the consideration that we expect to receive in exchange for those goods or services. To determine revenue recognition for arrangements that have been determined to be within the scope of ASC 606, we perform the following five steps: (i) identify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6" w:right="2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18"/>
          <w:szCs w:val="18"/>
          <w:color w:val="auto"/>
        </w:rPr>
        <w:t>the contract(s) with a customer; (ii) identify the performance obligations in the contract based on the relative standalone selling prices of the goods or services provided;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Once the contract is determined to be within the scope of ASC 606, we assess the goods or services promised within each contract and determine those that are performance obligations, and assess whether each promised good or service is distinct. We will then recognize as revenue the amount of the transaction price that is allocated to the respective performance obligation when (or as) the performance obligation is satisfied.</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we expect to be entitled to for satisfying all performance obligations within the agreement. Significant judgment may be required in determining the amount of variable consideration to be included in the transaction price. We use the expected value methods to determine variable consideration and will re-evaluate the transaction price in each reporting period and as uncertain events are resolved or other changes in circumstances occur.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the initial accounting for these arrangements, we must develop assumptions that require judgment to determine the standalone selling price, or SSP, for each performance obligation identified in the contract. We use these key assumptions to determine the SSP, which include forecast of revenues, development timelines, reimbursement rates for personnel costs, discount rates and probabilities of technical and regulatory success.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exercise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significant portion of revenue generated from our collaboration agreements with Celgene relates to the provision of research and development services whereby revenue is recognized under an input method using the ratio of effort incurred to date compared to the total estimated effort required to complete the performance obligation. The calculation of the total estimated effort includes the total amount of forecasted costs associated with the completion of discovery, pre-clinical or clinical trials, as well as the assumed timing of these activities and estimated patient populations. Such cost estimates include forecasted direct labor and material costs, subcontractor costs, and external contract research organization, or CRO,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collaboration agreements also entitle us to additional payments upon the achievement of performance-based milestones. These milestones are generally categorized into three types: development milestones, which are generally based on the initiation of clinical trials; regulatory milestones, which are generally based on the submission, filing or approval of regulatory applications such as a new drug application, or NDA, in the U.S.; and sales-based milestones, which are generally based on meeting specific thresholds of sales in certain geographic areas during a specified period. Upfront and ongoing development milestones per our collaboration agreements are not subject to refund if the development activities are not successful.</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each collaboration that includes development milestone payments, we evaluate whether it is probable that the consideration associated with each milestone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At the end of each subsequent reporting period, we re-evaluate the probability of a significant reversal of the cumulative revenue recognized for our milestones, and, if necessary, adjust our estimate of the overall transaction price. Any such adjustments are recorded on a cumulative catch-up basis, which would affect revenues from collaborators and loss in the period of adjustment. For arrangements that include sales-based milestone or royalty payments based on the level of sales, and in which the license is deemed to be the predominant item to which the sales-based milestone or royalties relate to, we recognize revenue in the period in which the sales-based milestone is achieved and in the period in which the sales associated with the royalty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Adoption of ASC 606</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adopted ASC 606 using the modified retrospective method. Under this method, we recognized the cumulative effect of the change in the opening balance of accumulated deficit in the December 31, 2018 consolidated balance sheet.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adopting ASC 606, we applied the practical expedient that permits aggregating the effect of all contract modifications that occurred prior to January 1, 2018. No other practical expedients were used.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cumulative effect of the accounting changes upon the adoption of the standard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Cumulative</w:t>
            </w:r>
          </w:p>
        </w:tc>
        <w:tc>
          <w:tcPr>
            <w:tcW w:w="360" w:type="dxa"/>
            <w:vAlign w:val="bottom"/>
          </w:tcPr>
          <w:p>
            <w:pPr>
              <w:spacing w:after="0"/>
              <w:rPr>
                <w:sz w:val="14"/>
                <w:szCs w:val="14"/>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January 1,</w:t>
            </w:r>
          </w:p>
        </w:tc>
      </w:tr>
      <w:tr>
        <w:trPr>
          <w:trHeight w:val="192"/>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Effect</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related party, current and net of current portions</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163,640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(39,456)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124,184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0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(798,061)</w:t>
            </w:r>
          </w:p>
        </w:tc>
        <w:tc>
          <w:tcPr>
            <w:tcW w:w="3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39,456</w:t>
            </w:r>
          </w:p>
        </w:tc>
        <w:tc>
          <w:tcPr>
            <w:tcW w:w="36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(758,605)</w:t>
            </w:r>
          </w:p>
        </w:tc>
      </w:tr>
      <w:tr>
        <w:trPr>
          <w:trHeight w:val="34"/>
        </w:trPr>
        <w:tc>
          <w:tcPr>
            <w:tcW w:w="5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effects of adopting ASC 606 on our consolidated financial statements: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Consolidated Balance Sheets</w:t>
            </w:r>
          </w:p>
        </w:tc>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December 31, 2018</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91"/>
        </w:trPr>
        <w:tc>
          <w:tcPr>
            <w:tcW w:w="2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4"/>
                <w:szCs w:val="24"/>
                <w:color w:val="auto"/>
              </w:rPr>
            </w:pPr>
          </w:p>
        </w:tc>
        <w:tc>
          <w:tcPr>
            <w:tcW w:w="1300" w:type="dxa"/>
            <w:vAlign w:val="bottom"/>
          </w:tcPr>
          <w:p>
            <w:pPr>
              <w:jc w:val="right"/>
              <w:ind w:right="313"/>
              <w:spacing w:after="0"/>
              <w:rPr>
                <w:sz w:val="20"/>
                <w:szCs w:val="20"/>
                <w:color w:val="auto"/>
              </w:rPr>
            </w:pPr>
            <w:r>
              <w:rPr>
                <w:rFonts w:ascii="Arial" w:cs="Arial" w:eastAsia="Arial" w:hAnsi="Arial"/>
                <w:sz w:val="14"/>
                <w:szCs w:val="14"/>
                <w:b w:val="1"/>
                <w:bCs w:val="1"/>
                <w:color w:val="auto"/>
              </w:rPr>
              <w:t>Under Topic</w:t>
            </w:r>
          </w:p>
        </w:tc>
        <w:tc>
          <w:tcPr>
            <w:tcW w:w="240" w:type="dxa"/>
            <w:vAlign w:val="bottom"/>
          </w:tcPr>
          <w:p>
            <w:pPr>
              <w:spacing w:after="0"/>
              <w:rPr>
                <w:sz w:val="24"/>
                <w:szCs w:val="24"/>
                <w:color w:val="auto"/>
              </w:rPr>
            </w:pPr>
          </w:p>
        </w:tc>
        <w:tc>
          <w:tcPr>
            <w:tcW w:w="140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Under Topic</w:t>
            </w:r>
          </w:p>
        </w:tc>
        <w:tc>
          <w:tcPr>
            <w:tcW w:w="420" w:type="dxa"/>
            <w:vAlign w:val="bottom"/>
          </w:tcPr>
          <w:p>
            <w:pPr>
              <w:spacing w:after="0"/>
              <w:rPr>
                <w:sz w:val="24"/>
                <w:szCs w:val="24"/>
                <w:color w:val="auto"/>
              </w:rPr>
            </w:pPr>
          </w:p>
        </w:tc>
        <w:tc>
          <w:tcPr>
            <w:tcW w:w="1240" w:type="dxa"/>
            <w:vAlign w:val="bottom"/>
          </w:tcPr>
          <w:p>
            <w:pPr>
              <w:jc w:val="right"/>
              <w:ind w:right="433"/>
              <w:spacing w:after="0"/>
              <w:rPr>
                <w:sz w:val="20"/>
                <w:szCs w:val="20"/>
                <w:color w:val="auto"/>
              </w:rPr>
            </w:pPr>
            <w:r>
              <w:rPr>
                <w:rFonts w:ascii="Arial" w:cs="Arial" w:eastAsia="Arial" w:hAnsi="Arial"/>
                <w:sz w:val="14"/>
                <w:szCs w:val="14"/>
                <w:b w:val="1"/>
                <w:bCs w:val="1"/>
                <w:color w:val="auto"/>
              </w:rPr>
              <w:t>Effect of</w:t>
            </w:r>
          </w:p>
        </w:tc>
      </w:tr>
      <w:tr>
        <w:trPr>
          <w:trHeight w:val="176"/>
        </w:trPr>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606</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605</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5,076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Collaboration receivable – related party</w:t>
            </w:r>
          </w:p>
        </w:tc>
        <w:tc>
          <w:tcPr>
            <w:tcW w:w="2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2,462</w:t>
            </w:r>
          </w:p>
        </w:tc>
        <w:tc>
          <w:tcPr>
            <w:tcW w:w="24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2,462</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Collaboration receivable – other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440</w:t>
            </w:r>
          </w:p>
        </w:tc>
      </w:tr>
      <w:tr>
        <w:trPr>
          <w:trHeight w:val="243"/>
        </w:trPr>
        <w:tc>
          <w:tcPr>
            <w:tcW w:w="2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613,780</w:t>
            </w:r>
          </w:p>
        </w:tc>
        <w:tc>
          <w:tcPr>
            <w:tcW w:w="24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613,340</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440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858,457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858,017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440</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32,710</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29,133</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3,577</w:t>
            </w:r>
          </w:p>
        </w:tc>
      </w:tr>
      <w:tr>
        <w:trPr>
          <w:trHeight w:val="243"/>
        </w:trPr>
        <w:tc>
          <w:tcPr>
            <w:tcW w:w="2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93,503</w:t>
            </w:r>
          </w:p>
        </w:tc>
        <w:tc>
          <w:tcPr>
            <w:tcW w:w="24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89,926</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3,577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59,809</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101,180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(41,371)</w:t>
            </w:r>
          </w:p>
        </w:tc>
      </w:tr>
      <w:tr>
        <w:trPr>
          <w:trHeight w:val="243"/>
        </w:trPr>
        <w:tc>
          <w:tcPr>
            <w:tcW w:w="2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170,920</w:t>
            </w:r>
          </w:p>
        </w:tc>
        <w:tc>
          <w:tcPr>
            <w:tcW w:w="24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208,714</w:t>
            </w:r>
          </w:p>
        </w:tc>
        <w:tc>
          <w:tcPr>
            <w:tcW w:w="4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(37,794)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(1,104,633)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(1,142,867)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38,234</w:t>
            </w:r>
          </w:p>
        </w:tc>
      </w:tr>
      <w:tr>
        <w:trPr>
          <w:trHeight w:val="243"/>
        </w:trPr>
        <w:tc>
          <w:tcPr>
            <w:tcW w:w="20" w:type="dxa"/>
            <w:vAlign w:val="bottom"/>
          </w:tcPr>
          <w:p>
            <w:pPr>
              <w:spacing w:after="0"/>
              <w:rPr>
                <w:sz w:val="21"/>
                <w:szCs w:val="21"/>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687,537</w:t>
            </w:r>
          </w:p>
        </w:tc>
        <w:tc>
          <w:tcPr>
            <w:tcW w:w="24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649,303</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38,234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858,457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858,017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440</w:t>
            </w:r>
          </w:p>
        </w:tc>
      </w:tr>
      <w:tr>
        <w:trPr>
          <w:trHeight w:val="27"/>
        </w:trPr>
        <w:tc>
          <w:tcPr>
            <w:tcW w:w="2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Statements of Operations</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Borders>
              <w:top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4"/>
                <w:szCs w:val="14"/>
                <w:b w:val="1"/>
                <w:bCs w:val="1"/>
                <w:color w:val="auto"/>
                <w:w w:val="92"/>
              </w:rPr>
              <w:t>Year ended December 31, 2018</w:t>
            </w:r>
          </w:p>
        </w:tc>
        <w:tc>
          <w:tcPr>
            <w:tcW w:w="1240" w:type="dxa"/>
            <w:vAlign w:val="bottom"/>
            <w:tcBorders>
              <w:bottom w:val="single" w:sz="8" w:color="auto"/>
            </w:tcBorders>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4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Under Topic</w:t>
            </w:r>
          </w:p>
        </w:tc>
        <w:tc>
          <w:tcPr>
            <w:tcW w:w="440" w:type="dxa"/>
            <w:vAlign w:val="bottom"/>
          </w:tcPr>
          <w:p>
            <w:pPr>
              <w:spacing w:after="0"/>
              <w:rPr>
                <w:sz w:val="24"/>
                <w:szCs w:val="24"/>
                <w:color w:val="auto"/>
              </w:rPr>
            </w:pPr>
          </w:p>
        </w:tc>
        <w:tc>
          <w:tcPr>
            <w:tcW w:w="132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Under Topic</w:t>
            </w:r>
          </w:p>
        </w:tc>
        <w:tc>
          <w:tcPr>
            <w:tcW w:w="420" w:type="dxa"/>
            <w:vAlign w:val="bottom"/>
          </w:tcPr>
          <w:p>
            <w:pPr>
              <w:spacing w:after="0"/>
              <w:rPr>
                <w:sz w:val="24"/>
                <w:szCs w:val="24"/>
                <w:color w:val="auto"/>
              </w:rPr>
            </w:pPr>
          </w:p>
        </w:tc>
        <w:tc>
          <w:tcPr>
            <w:tcW w:w="1240" w:type="dxa"/>
            <w:vAlign w:val="bottom"/>
          </w:tcPr>
          <w:p>
            <w:pPr>
              <w:jc w:val="right"/>
              <w:ind w:right="433"/>
              <w:spacing w:after="0"/>
              <w:rPr>
                <w:sz w:val="20"/>
                <w:szCs w:val="20"/>
                <w:color w:val="auto"/>
              </w:rPr>
            </w:pPr>
            <w:r>
              <w:rPr>
                <w:rFonts w:ascii="Arial" w:cs="Arial" w:eastAsia="Arial" w:hAnsi="Arial"/>
                <w:sz w:val="14"/>
                <w:szCs w:val="14"/>
                <w:b w:val="1"/>
                <w:bCs w:val="1"/>
                <w:color w:val="auto"/>
              </w:rPr>
              <w:t>Effect of</w:t>
            </w:r>
          </w:p>
        </w:tc>
      </w:tr>
      <w:tr>
        <w:trPr>
          <w:trHeight w:val="162"/>
        </w:trPr>
        <w:tc>
          <w:tcPr>
            <w:tcW w:w="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606</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4"/>
              </w:rPr>
              <w:t>605</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13,841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Collaboration revenue – related party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60,661</w:t>
            </w:r>
          </w:p>
        </w:tc>
        <w:tc>
          <w:tcPr>
            <w:tcW w:w="4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58,994</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1,667</w:t>
            </w: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Collaboration revenue – other</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12,230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440</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94,387</w:t>
            </w:r>
          </w:p>
        </w:tc>
        <w:tc>
          <w:tcPr>
            <w:tcW w:w="4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92,280</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2,107</w:t>
            </w: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341,324</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337,995</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3,329</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cost and expenses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456,866</w:t>
            </w:r>
          </w:p>
        </w:tc>
        <w:tc>
          <w:tcPr>
            <w:tcW w:w="44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453,537</w:t>
            </w:r>
          </w:p>
        </w:tc>
        <w:tc>
          <w:tcPr>
            <w:tcW w:w="4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3,329</w:t>
            </w: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(362,479)</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(361,257)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(1,222)</w:t>
            </w:r>
          </w:p>
        </w:tc>
      </w:tr>
      <w:tr>
        <w:trPr>
          <w:trHeight w:val="243"/>
        </w:trPr>
        <w:tc>
          <w:tcPr>
            <w:tcW w:w="20" w:type="dxa"/>
            <w:vAlign w:val="bottom"/>
          </w:tcPr>
          <w:p>
            <w:pPr>
              <w:spacing w:after="0"/>
              <w:rPr>
                <w:sz w:val="21"/>
                <w:szCs w:val="21"/>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(346,028)</w:t>
            </w:r>
          </w:p>
        </w:tc>
        <w:tc>
          <w:tcPr>
            <w:tcW w:w="4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(344,806)</w:t>
            </w:r>
          </w:p>
        </w:tc>
        <w:tc>
          <w:tcPr>
            <w:tcW w:w="4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(1,222)</w:t>
            </w: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(0.02)</w:t>
            </w:r>
          </w:p>
        </w:tc>
      </w:tr>
      <w:tr>
        <w:trPr>
          <w:trHeight w:val="27"/>
        </w:trPr>
        <w:tc>
          <w:tcPr>
            <w:tcW w:w="2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Consolidated Statements of Comprehensive Loss</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1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2"/>
              </w:rPr>
              <w:t>Year ended December 31, 2018</w:t>
            </w:r>
          </w:p>
        </w:tc>
        <w:tc>
          <w:tcPr>
            <w:tcW w:w="1240" w:type="dxa"/>
            <w:vAlign w:val="bottom"/>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77"/>
        </w:trPr>
        <w:tc>
          <w:tcPr>
            <w:tcW w:w="20" w:type="dxa"/>
            <w:vAlign w:val="bottom"/>
          </w:tcPr>
          <w:p>
            <w:pPr>
              <w:spacing w:after="0"/>
              <w:rPr>
                <w:sz w:val="24"/>
                <w:szCs w:val="24"/>
                <w:color w:val="auto"/>
              </w:rPr>
            </w:pPr>
          </w:p>
        </w:tc>
        <w:tc>
          <w:tcPr>
            <w:tcW w:w="64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4"/>
                <w:szCs w:val="2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Under Topic</w:t>
            </w:r>
          </w:p>
        </w:tc>
        <w:tc>
          <w:tcPr>
            <w:tcW w:w="440" w:type="dxa"/>
            <w:vAlign w:val="bottom"/>
          </w:tcPr>
          <w:p>
            <w:pPr>
              <w:spacing w:after="0"/>
              <w:rPr>
                <w:sz w:val="24"/>
                <w:szCs w:val="24"/>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Under Topic</w:t>
            </w:r>
          </w:p>
        </w:tc>
        <w:tc>
          <w:tcPr>
            <w:tcW w:w="420" w:type="dxa"/>
            <w:vAlign w:val="bottom"/>
          </w:tcPr>
          <w:p>
            <w:pPr>
              <w:spacing w:after="0"/>
              <w:rPr>
                <w:sz w:val="24"/>
                <w:szCs w:val="2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Effect of</w:t>
            </w:r>
          </w:p>
        </w:tc>
      </w:tr>
      <w:tr>
        <w:trPr>
          <w:trHeight w:val="162"/>
        </w:trPr>
        <w:tc>
          <w:tcPr>
            <w:tcW w:w="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606</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605</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Change</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(346,028)</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(344,806)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(1,222)</w:t>
            </w:r>
          </w:p>
        </w:tc>
      </w:tr>
      <w:tr>
        <w:trPr>
          <w:trHeight w:val="243"/>
        </w:trPr>
        <w:tc>
          <w:tcPr>
            <w:tcW w:w="20" w:type="dxa"/>
            <w:vAlign w:val="bottom"/>
          </w:tcPr>
          <w:p>
            <w:pPr>
              <w:spacing w:after="0"/>
              <w:rPr>
                <w:sz w:val="21"/>
                <w:szCs w:val="21"/>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(346,810)</w:t>
            </w:r>
          </w:p>
        </w:tc>
        <w:tc>
          <w:tcPr>
            <w:tcW w:w="44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(345,588)</w:t>
            </w:r>
          </w:p>
        </w:tc>
        <w:tc>
          <w:tcPr>
            <w:tcW w:w="4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(1,222)</w:t>
            </w:r>
          </w:p>
        </w:tc>
      </w:tr>
      <w:tr>
        <w:trPr>
          <w:trHeight w:val="34"/>
        </w:trPr>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743"/>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Consolidated Statements of Cash Flows</w:t>
            </w:r>
          </w:p>
        </w:tc>
        <w:tc>
          <w:tcPr>
            <w:tcW w:w="35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2"/>
              </w:rPr>
              <w:t>Year ended December 31, 2018</w:t>
            </w:r>
          </w:p>
        </w:tc>
        <w:tc>
          <w:tcPr>
            <w:tcW w:w="124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46"/>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2"/>
              </w:rPr>
              <w:t>Under Topic</w:t>
            </w:r>
          </w:p>
        </w:tc>
        <w:tc>
          <w:tcPr>
            <w:tcW w:w="440" w:type="dxa"/>
            <w:vAlign w:val="bottom"/>
          </w:tcPr>
          <w:p>
            <w:pPr>
              <w:spacing w:after="0"/>
              <w:rPr>
                <w:sz w:val="12"/>
                <w:szCs w:val="12"/>
                <w:color w:val="auto"/>
              </w:rPr>
            </w:pPr>
          </w:p>
        </w:tc>
        <w:tc>
          <w:tcPr>
            <w:tcW w:w="130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5"/>
              </w:rPr>
              <w:t>Under Topic</w:t>
            </w:r>
          </w:p>
        </w:tc>
        <w:tc>
          <w:tcPr>
            <w:tcW w:w="420" w:type="dxa"/>
            <w:vAlign w:val="bottom"/>
          </w:tcPr>
          <w:p>
            <w:pPr>
              <w:spacing w:after="0"/>
              <w:rPr>
                <w:sz w:val="12"/>
                <w:szCs w:val="12"/>
                <w:color w:val="auto"/>
              </w:rPr>
            </w:pPr>
          </w:p>
        </w:tc>
        <w:tc>
          <w:tcPr>
            <w:tcW w:w="1240" w:type="dxa"/>
            <w:vAlign w:val="bottom"/>
          </w:tcPr>
          <w:p>
            <w:pPr>
              <w:jc w:val="center"/>
              <w:ind w:right="237"/>
              <w:spacing w:after="0" w:line="147" w:lineRule="exact"/>
              <w:rPr>
                <w:sz w:val="20"/>
                <w:szCs w:val="20"/>
                <w:color w:val="auto"/>
              </w:rPr>
            </w:pPr>
            <w:r>
              <w:rPr>
                <w:rFonts w:ascii="Arial" w:cs="Arial" w:eastAsia="Arial" w:hAnsi="Arial"/>
                <w:sz w:val="14"/>
                <w:szCs w:val="14"/>
                <w:b w:val="1"/>
                <w:bCs w:val="1"/>
                <w:color w:val="auto"/>
                <w:w w:val="92"/>
              </w:rPr>
              <w:t>Effect of</w:t>
            </w:r>
          </w:p>
        </w:tc>
      </w:tr>
      <w:tr>
        <w:trPr>
          <w:trHeight w:val="192"/>
        </w:trPr>
        <w:tc>
          <w:tcPr>
            <w:tcW w:w="2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606</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605</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(346,028)</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(344,806)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(1,222)</w:t>
            </w:r>
          </w:p>
        </w:tc>
      </w:tr>
      <w:tr>
        <w:trPr>
          <w:trHeight w:val="243"/>
        </w:trPr>
        <w:tc>
          <w:tcPr>
            <w:tcW w:w="20" w:type="dxa"/>
            <w:vAlign w:val="bottom"/>
          </w:tcPr>
          <w:p>
            <w:pPr>
              <w:spacing w:after="0"/>
              <w:rPr>
                <w:sz w:val="21"/>
                <w:szCs w:val="21"/>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(5,076)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40" w:type="dxa"/>
            <w:vAlign w:val="bottom"/>
            <w:gridSpan w:val="3"/>
          </w:tcPr>
          <w:p>
            <w:pPr>
              <w:ind w:left="220"/>
              <w:spacing w:after="0"/>
              <w:rPr>
                <w:sz w:val="20"/>
                <w:szCs w:val="20"/>
                <w:color w:val="auto"/>
              </w:rPr>
            </w:pPr>
            <w:r>
              <w:rPr>
                <w:rFonts w:ascii="Arial" w:cs="Arial" w:eastAsia="Arial" w:hAnsi="Arial"/>
                <w:sz w:val="18"/>
                <w:szCs w:val="18"/>
                <w:color w:val="auto"/>
              </w:rPr>
              <w:t>Collaboration receivable – related party</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Collaboration receivable – other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(440)</w:t>
            </w:r>
          </w:p>
        </w:tc>
      </w:tr>
      <w:tr>
        <w:trPr>
          <w:trHeight w:val="243"/>
        </w:trPr>
        <w:tc>
          <w:tcPr>
            <w:tcW w:w="20" w:type="dxa"/>
            <w:vAlign w:val="bottom"/>
          </w:tcPr>
          <w:p>
            <w:pPr>
              <w:spacing w:after="0"/>
              <w:rPr>
                <w:sz w:val="21"/>
                <w:szCs w:val="21"/>
                <w:color w:val="auto"/>
              </w:rPr>
            </w:pPr>
          </w:p>
        </w:tc>
        <w:tc>
          <w:tcPr>
            <w:tcW w:w="6440" w:type="dxa"/>
            <w:vAlign w:val="bottom"/>
            <w:gridSpan w:val="3"/>
          </w:tcPr>
          <w:p>
            <w:pPr>
              <w:ind w:left="220"/>
              <w:spacing w:after="0"/>
              <w:rPr>
                <w:sz w:val="20"/>
                <w:szCs w:val="20"/>
                <w:color w:val="auto"/>
              </w:rPr>
            </w:pPr>
            <w:r>
              <w:rPr>
                <w:rFonts w:ascii="Arial" w:cs="Arial" w:eastAsia="Arial" w:hAnsi="Arial"/>
                <w:sz w:val="18"/>
                <w:szCs w:val="18"/>
                <w:color w:val="auto"/>
              </w:rPr>
              <w:t>Deferred revenue – related party</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(31,665)</w:t>
            </w:r>
          </w:p>
        </w:tc>
        <w:tc>
          <w:tcPr>
            <w:tcW w:w="44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(33,327)</w:t>
            </w:r>
          </w:p>
        </w:tc>
        <w:tc>
          <w:tcPr>
            <w:tcW w:w="42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1,662</w:t>
            </w:r>
          </w:p>
        </w:tc>
      </w:tr>
      <w:tr>
        <w:trPr>
          <w:trHeight w:val="34"/>
        </w:trPr>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consists primarily of manufacturing costs of TIBSOVO®. Based on our policy to expense costs associated with the manufacturing of our products prior to regulatory approval, certain of the manufacturing costs associated with product shipments of TIBSOVO® recorded during the years ended December 31, 2019 and December 31, 2018 were expensed prior to July 20, 2018 and, therefore, are not included in costs of sales during the years ended December 31, 2019 or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costs, including those accrued as of each balance sheet date, are expensed as incurred. These costs include salaries and personnel-related costs, consulting fees, fees paid for contract research services, fees paid to contract CROs, and other third parties in connection with clinical trials and preclinical development activities, fees paid to investigative sites in connection with clinical studies, the costs associated with the product manufacturing, development, and distribution of clinical supplies, the costs of laboratory equipment and facilities, and other external costs.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Nonrefundable advance payments for goods or services to be received in the future for use in research and development activities are deferred and capitalized. Additionally, there may be instances in which payments made to our vendors will exceed the level of services provided, and result in a prepayment of the research and development expense. The capitalized amounts are expensed as the related goods are delivered or the services are performed.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account for stock-based compensation awards in accordance with ASC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or ASC 718. For stock-based awards granted to employees and to members of the board of directors for their services and for participation in our employee stock purchase plan, we primarily estimate the grant date fair value of each option award using the Black-Scholes option-pricing model. The use of the Black-Scholes option-pricing model requires us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we recognize stock-based compensation expense equal to the grant date fair value of stock options on a straight-line basis over the requisite service period. For awards subject to both performance and service-based vesting conditions, we recognize stock-based compensation expense over the remaining service period if the performance condition is considered probable of achievement using management’s best estimates.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2017, we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which simplifies several aspects of the accounting for employee share-based payment transactions, including income tax consequences, classification of awards as either equity or liabilities, and classification in the statement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03" w:right="239" w:bottom="1440" w:gutter="0" w:footer="0" w:header="0"/>
        </w:sectPr>
      </w:pPr>
    </w:p>
    <w:bookmarkStart w:id="114" w:name="page115"/>
    <w:bookmarkEnd w:id="114"/>
    <w:p>
      <w:pPr>
        <w:jc w:val="both"/>
        <w:spacing w:after="0" w:line="277" w:lineRule="auto"/>
        <w:rPr>
          <w:sz w:val="20"/>
          <w:szCs w:val="20"/>
          <w:color w:val="auto"/>
        </w:rPr>
      </w:pPr>
      <w:r>
        <w:rPr>
          <w:rFonts w:ascii="Arial" w:cs="Arial" w:eastAsia="Arial" w:hAnsi="Arial"/>
          <w:sz w:val="18"/>
          <w:szCs w:val="18"/>
          <w:color w:val="auto"/>
        </w:rPr>
        <w:t>cash flows. Upon adoption of this standard, we recorded a cumulative-effect adjustment of approximately $32.7 million through retained earnings and deferred tax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Income taxes are recorded in accordance with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and currently consists of net loss and unrealized gains and losses on available-for-sale securities. Accumulated other comprehensive loss consists entirely of unrealized gains and losses from available-for-sale securities as of December 31, 2019 and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is calculated by dividing net loss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dilutive net loss per share calculation, stock options, restricted stock units, performance-based stock units and market-based stock units for which the performance vesting conditions have been met, and employee stock purchase plan shares are considered to be common stock equivalents but are excluded from the calculation of diluted net loss per share as their effect would be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Our chief operating decision maker is the chief executive officer. Our chief operating decision maker and we view our operations and manage our business as one operating segment.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was codified as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amended through subsequent ASUs. We adopted ASC 842 effective January 1, 2019 using the optional transition method provided for under ASU 2018-11, </w:t>
      </w:r>
      <w:r>
        <w:rPr>
          <w:rFonts w:ascii="Arial" w:cs="Arial" w:eastAsia="Arial" w:hAnsi="Arial"/>
          <w:sz w:val="17"/>
          <w:szCs w:val="17"/>
          <w:i w:val="1"/>
          <w:iCs w:val="1"/>
          <w:color w:val="auto"/>
        </w:rPr>
        <w:t>Leases (Topic 842):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w:t>
      </w:r>
      <w:r>
        <w:rPr>
          <w:rFonts w:ascii="Arial" w:cs="Arial" w:eastAsia="Arial" w:hAnsi="Arial"/>
          <w:sz w:val="17"/>
          <w:szCs w:val="17"/>
          <w:color w:val="auto"/>
        </w:rPr>
        <w:t>, whereby we applied the new lease requirements through a cumulative-effect adjustment, which after completing our implementation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in no material adjustment to our January 1, 2019 beginning accumulated deficit balance. We also elected the package of practical expedients provided for under ASU 2018-11, which allows us not to reassess whether contracts are or contain leases, lease classification, and whether initial direct costs qualify for capitalization. Additionally, as an accounting policy, for our building leases, we chose not to separate the non-lease components from the lease components and, instead, accounted for each non-lease component and lease component as a single component.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completed our assessment over the impact of the standard and determined that the only material leases that we hold are our building leases. Upon adoption of the standard on January 1, 2019, we recorded operating right of use assets of $59.9 million and operating lease liabilities of $77.3 million on our consolidated balance sheets. Prior periods are presented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June 2018, the FASB issued Accounting Standards Update No. 2018-07 – </w:t>
      </w:r>
      <w:r>
        <w:rPr>
          <w:rFonts w:ascii="Arial" w:cs="Arial" w:eastAsia="Arial" w:hAnsi="Arial"/>
          <w:sz w:val="18"/>
          <w:szCs w:val="18"/>
          <w:i w:val="1"/>
          <w:iCs w:val="1"/>
          <w:color w:val="auto"/>
        </w:rPr>
        <w:t>Compensation-Stock Compensation (Topic 718)-Improvements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ASU 2018-07 simplifies the accounting for share-based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15" w:name="page116"/>
    <w:bookmarkEnd w:id="115"/>
    <w:p>
      <w:pPr>
        <w:jc w:val="both"/>
        <w:spacing w:after="0" w:line="264" w:lineRule="auto"/>
        <w:rPr>
          <w:sz w:val="20"/>
          <w:szCs w:val="20"/>
          <w:color w:val="auto"/>
        </w:rPr>
      </w:pPr>
      <w:r>
        <w:rPr>
          <w:rFonts w:ascii="Arial" w:cs="Arial" w:eastAsia="Arial" w:hAnsi="Arial"/>
          <w:sz w:val="18"/>
          <w:szCs w:val="18"/>
          <w:color w:val="auto"/>
        </w:rPr>
        <w:t>payments to nonemployees by aligning it with the accounting for share-based payments to employees, with certain exceptions. ASU 2018-07 is effective for fiscal years beginning after December 15, 2018. The Company adopted the new standard as of January 1, 2019. There was no material impact to the Company’s consolidated financial position, results of operation, or cash flows.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Accounting Standards Update No. 2019-12 –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amendments in ASU 2019-12 are effective for the fiscal years beginning after December 15, 2020. Early adoption is permitted, including adoption in any interim period. The Company has early adopted this amendment as of January 1, 2019. There was no material impact to the Company’s consolidated financial position, results of operation, or cash flows.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by the FASB or other standards-setting bodies that do not require adoption until a future date are not expected to have a material impact on our financial statements upon adoption.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considered events or transactions occurring after the balance sheet date, but prior to the issuance of the consolidated financial statements, for potential recognition or disclosure in our consolidated financial statements. All significant subsequent events have been properly disclosed in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summarizes our cash equivalents and marketable securities measured at fair value and by level (as described in Note 2. </w:t>
      </w:r>
      <w:r>
        <w:rPr>
          <w:rFonts w:ascii="Arial" w:cs="Arial" w:eastAsia="Arial" w:hAnsi="Arial"/>
          <w:sz w:val="16"/>
          <w:szCs w:val="16"/>
          <w:i w:val="1"/>
          <w:iCs w:val="1"/>
          <w:color w:val="auto"/>
        </w:rPr>
        <w:t>Summary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on a recurring basis as of December 31,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12,568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36,299</w:t>
            </w:r>
          </w:p>
        </w:tc>
        <w:tc>
          <w:tcPr>
            <w:tcW w:w="106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48,867</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cash equivalents</w:t>
            </w:r>
          </w:p>
        </w:tc>
        <w:tc>
          <w:tcPr>
            <w:tcW w:w="1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12,568</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36,299</w:t>
            </w: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48,867</w:t>
            </w:r>
          </w:p>
        </w:tc>
      </w:tr>
      <w:tr>
        <w:trPr>
          <w:trHeight w:val="27"/>
        </w:trPr>
        <w:tc>
          <w:tcPr>
            <w:tcW w:w="4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340"/>
              <w:spacing w:after="0"/>
              <w:rPr>
                <w:sz w:val="20"/>
                <w:szCs w:val="20"/>
                <w:color w:val="auto"/>
              </w:rPr>
            </w:pPr>
            <w:r>
              <w:rPr>
                <w:rFonts w:ascii="Arial" w:cs="Arial" w:eastAsia="Arial" w:hAnsi="Arial"/>
                <w:sz w:val="18"/>
                <w:szCs w:val="18"/>
                <w:color w:val="auto"/>
              </w:rPr>
              <w:t>U.S. Treasuries</w:t>
            </w:r>
          </w:p>
        </w:tc>
        <w:tc>
          <w:tcPr>
            <w:tcW w:w="138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214,027</w:t>
            </w:r>
          </w:p>
        </w:tc>
        <w:tc>
          <w:tcPr>
            <w:tcW w:w="106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214,027</w:t>
            </w:r>
          </w:p>
        </w:tc>
      </w:tr>
      <w:tr>
        <w:trPr>
          <w:trHeight w:val="27"/>
        </w:trPr>
        <w:tc>
          <w:tcPr>
            <w:tcW w:w="4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Government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97,820</w:t>
            </w: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97,820</w:t>
            </w:r>
          </w:p>
        </w:tc>
      </w:tr>
      <w:tr>
        <w:trPr>
          <w:trHeight w:val="243"/>
        </w:trPr>
        <w:tc>
          <w:tcPr>
            <w:tcW w:w="464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325,028</w:t>
            </w:r>
          </w:p>
        </w:tc>
        <w:tc>
          <w:tcPr>
            <w:tcW w:w="106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325,028</w:t>
            </w:r>
          </w:p>
        </w:tc>
      </w:tr>
      <w:tr>
        <w:trPr>
          <w:trHeight w:val="27"/>
        </w:trPr>
        <w:tc>
          <w:tcPr>
            <w:tcW w:w="4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636,875</w:t>
            </w:r>
          </w:p>
        </w:tc>
        <w:tc>
          <w:tcPr>
            <w:tcW w:w="1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636,875</w:t>
            </w:r>
          </w:p>
        </w:tc>
      </w:tr>
      <w:tr>
        <w:trPr>
          <w:trHeight w:val="237"/>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12,568</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673,174</w:t>
            </w:r>
          </w:p>
        </w:tc>
        <w:tc>
          <w:tcPr>
            <w:tcW w:w="106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685,742</w:t>
            </w:r>
          </w:p>
        </w:tc>
      </w:tr>
      <w:tr>
        <w:trPr>
          <w:trHeight w:val="34"/>
        </w:trPr>
        <w:tc>
          <w:tcPr>
            <w:tcW w:w="4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transfers between Level 1 and Level 2 and we had no financial assets or liabilities that were classified as Level 3 at any point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December 31, 2019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4"/>
                <w:szCs w:val="14"/>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4"/>
                <w:szCs w:val="14"/>
                <w:color w:val="auto"/>
              </w:rPr>
            </w:pPr>
          </w:p>
        </w:tc>
        <w:tc>
          <w:tcPr>
            <w:tcW w:w="102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178,721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178,741</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80,228</w:t>
            </w:r>
          </w:p>
        </w:tc>
        <w:tc>
          <w:tcPr>
            <w:tcW w:w="2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80,229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224,928</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139</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224,976</w:t>
            </w:r>
          </w:p>
        </w:tc>
        <w:tc>
          <w:tcPr>
            <w:tcW w:w="0" w:type="dxa"/>
            <w:vAlign w:val="bottom"/>
          </w:tcPr>
          <w:p>
            <w:pPr>
              <w:spacing w:after="0"/>
              <w:rPr>
                <w:sz w:val="1"/>
                <w:szCs w:val="1"/>
                <w:color w:val="auto"/>
              </w:rPr>
            </w:pP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Current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483,877</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483,946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22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35,296</w:t>
            </w:r>
          </w:p>
        </w:tc>
        <w:tc>
          <w:tcPr>
            <w:tcW w:w="2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70"/>
        </w:trPr>
        <w:tc>
          <w:tcPr>
            <w:tcW w:w="5700" w:type="dxa"/>
            <w:vAlign w:val="bottom"/>
          </w:tcPr>
          <w:p>
            <w:pPr>
              <w:ind w:left="1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3"/>
                <w:szCs w:val="23"/>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17,587</w:t>
            </w:r>
          </w:p>
        </w:tc>
        <w:tc>
          <w:tcPr>
            <w:tcW w:w="260" w:type="dxa"/>
            <w:vAlign w:val="bottom"/>
          </w:tcPr>
          <w:p>
            <w:pPr>
              <w:spacing w:after="0"/>
              <w:rPr>
                <w:sz w:val="23"/>
                <w:szCs w:val="23"/>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17,591</w:t>
            </w:r>
          </w:p>
        </w:tc>
        <w:tc>
          <w:tcPr>
            <w:tcW w:w="0" w:type="dxa"/>
            <w:vAlign w:val="bottom"/>
          </w:tcPr>
          <w:p>
            <w:pPr>
              <w:spacing w:after="0"/>
              <w:rPr>
                <w:sz w:val="1"/>
                <w:szCs w:val="1"/>
                <w:color w:val="auto"/>
              </w:rPr>
            </w:pPr>
          </w:p>
        </w:tc>
      </w:tr>
      <w:tr>
        <w:trPr>
          <w:trHeight w:val="270"/>
        </w:trPr>
        <w:tc>
          <w:tcPr>
            <w:tcW w:w="57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99,913</w:t>
            </w:r>
          </w:p>
        </w:tc>
        <w:tc>
          <w:tcPr>
            <w:tcW w:w="260" w:type="dxa"/>
            <w:vAlign w:val="bottom"/>
          </w:tcPr>
          <w:p>
            <w:pPr>
              <w:spacing w:after="0"/>
              <w:rPr>
                <w:sz w:val="23"/>
                <w:szCs w:val="23"/>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100,052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152,796</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152,929</w:t>
            </w:r>
          </w:p>
        </w:tc>
        <w:tc>
          <w:tcPr>
            <w:tcW w:w="0" w:type="dxa"/>
            <w:vAlign w:val="bottom"/>
          </w:tcPr>
          <w:p>
            <w:pPr>
              <w:spacing w:after="0"/>
              <w:rPr>
                <w:sz w:val="1"/>
                <w:szCs w:val="1"/>
                <w:color w:val="auto"/>
              </w:rPr>
            </w:pP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636,673</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470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(268)</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636,875</w:t>
            </w:r>
          </w:p>
        </w:tc>
        <w:tc>
          <w:tcPr>
            <w:tcW w:w="0" w:type="dxa"/>
            <w:vAlign w:val="bottom"/>
          </w:tcPr>
          <w:p>
            <w:pPr>
              <w:spacing w:after="0"/>
              <w:rPr>
                <w:sz w:val="1"/>
                <w:szCs w:val="1"/>
                <w:color w:val="auto"/>
              </w:rPr>
            </w:pPr>
          </w:p>
        </w:tc>
      </w:tr>
      <w:tr>
        <w:trPr>
          <w:trHeight w:val="34"/>
        </w:trPr>
        <w:tc>
          <w:tcPr>
            <w:tcW w:w="5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0"/>
                <w:szCs w:val="20"/>
                <w:color w:val="auto"/>
              </w:rPr>
            </w:pPr>
            <w:r>
              <w:rPr>
                <w:rFonts w:ascii="Arial" w:cs="Arial" w:eastAsia="Arial" w:hAnsi="Arial"/>
                <w:sz w:val="18"/>
                <w:szCs w:val="18"/>
                <w:color w:val="auto"/>
              </w:rPr>
              <w:t>Marketable securities at December 31, 2018 consisted of the following:</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3"/>
                <w:szCs w:val="23"/>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3"/>
                <w:szCs w:val="23"/>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23"/>
                <w:szCs w:val="23"/>
                <w:color w:val="auto"/>
              </w:rPr>
            </w:pPr>
          </w:p>
        </w:tc>
        <w:tc>
          <w:tcPr>
            <w:tcW w:w="102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2"/>
              </w:rPr>
              <w:t>Losses</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231,101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230,880</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75,335</w:t>
            </w:r>
          </w:p>
        </w:tc>
        <w:tc>
          <w:tcPr>
            <w:tcW w:w="2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75,214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208,233</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207,750</w:t>
            </w:r>
          </w:p>
        </w:tc>
        <w:tc>
          <w:tcPr>
            <w:tcW w:w="0" w:type="dxa"/>
            <w:vAlign w:val="bottom"/>
          </w:tcPr>
          <w:p>
            <w:pPr>
              <w:spacing w:after="0"/>
              <w:rPr>
                <w:sz w:val="1"/>
                <w:szCs w:val="1"/>
                <w:color w:val="auto"/>
              </w:rPr>
            </w:pP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Current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515,629</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(836)</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514,800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12,202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70,177</w:t>
            </w:r>
          </w:p>
        </w:tc>
        <w:tc>
          <w:tcPr>
            <w:tcW w:w="2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69,999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139,082</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138,039</w:t>
            </w:r>
          </w:p>
        </w:tc>
        <w:tc>
          <w:tcPr>
            <w:tcW w:w="0" w:type="dxa"/>
            <w:vAlign w:val="bottom"/>
          </w:tcPr>
          <w:p>
            <w:pPr>
              <w:spacing w:after="0"/>
              <w:rPr>
                <w:sz w:val="1"/>
                <w:szCs w:val="1"/>
                <w:color w:val="auto"/>
              </w:rPr>
            </w:pP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Non-current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221,461</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(1,368)</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220,119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737,090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734,919</w:t>
            </w:r>
          </w:p>
        </w:tc>
        <w:tc>
          <w:tcPr>
            <w:tcW w:w="0" w:type="dxa"/>
            <w:vAlign w:val="bottom"/>
          </w:tcPr>
          <w:p>
            <w:pPr>
              <w:spacing w:after="0"/>
              <w:rPr>
                <w:sz w:val="1"/>
                <w:szCs w:val="1"/>
                <w:color w:val="auto"/>
              </w:rPr>
            </w:pPr>
          </w:p>
        </w:tc>
      </w:tr>
      <w:tr>
        <w:trPr>
          <w:trHeight w:val="27"/>
        </w:trPr>
        <w:tc>
          <w:tcPr>
            <w:tcW w:w="5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realized gains or losses on marketable securities for the years ended December 31, 2019 and 2018.</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and 2018, we held 113 and 242 debt securities that were in an unrealized loss position for less than one year, respectively. The aggregate fair value of debt securities in an unrealized loss position at December 31, 2019 and 2018 was $345.7 million and $639.3 million, respectively. There were no individual securities that were in a significant unrealized loss position as of December 31, 2019 and 2018. Given our intent and ability to hold such securities until recovery, and the lack of material change in the credit risk of these investments, we do not consider these marketable securities to be other-than-temporarily impaired as of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23,418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20,165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3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6,415</w:t>
            </w: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5,449</w:t>
            </w:r>
          </w:p>
        </w:tc>
      </w:tr>
      <w:tr>
        <w:trPr>
          <w:trHeight w:val="27"/>
        </w:trPr>
        <w:tc>
          <w:tcPr>
            <w:tcW w:w="5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23,879</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22,084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3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2,101</w:t>
            </w: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1,065</w:t>
            </w:r>
          </w:p>
        </w:tc>
      </w:tr>
      <w:tr>
        <w:trPr>
          <w:trHeight w:val="27"/>
        </w:trPr>
        <w:tc>
          <w:tcPr>
            <w:tcW w:w="5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407</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3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7,182</w:t>
            </w: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1,302</w:t>
            </w:r>
          </w:p>
        </w:tc>
      </w:tr>
      <w:tr>
        <w:trPr>
          <w:trHeight w:val="27"/>
        </w:trPr>
        <w:tc>
          <w:tcPr>
            <w:tcW w:w="55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63,584</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50,472</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(32,112)</w:t>
            </w:r>
          </w:p>
        </w:tc>
        <w:tc>
          <w:tcPr>
            <w:tcW w:w="4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(26,152)</w:t>
            </w:r>
          </w:p>
        </w:tc>
      </w:tr>
      <w:tr>
        <w:trPr>
          <w:trHeight w:val="27"/>
        </w:trPr>
        <w:tc>
          <w:tcPr>
            <w:tcW w:w="55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31,472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24,320</w:t>
            </w:r>
          </w:p>
        </w:tc>
      </w:tr>
      <w:tr>
        <w:trPr>
          <w:trHeight w:val="27"/>
        </w:trPr>
        <w:tc>
          <w:tcPr>
            <w:tcW w:w="5580" w:type="dxa"/>
            <w:vAlign w:val="bottom"/>
            <w:shd w:val="clear" w:color="auto" w:fill="000000"/>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2019, 2018 and 2017 was $8.0 million, $7.2 million and $6.4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at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0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6,808</w:t>
            </w:r>
          </w:p>
        </w:tc>
        <w:tc>
          <w:tcPr>
            <w:tcW w:w="4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788</w:t>
            </w:r>
          </w:p>
        </w:tc>
      </w:tr>
      <w:tr>
        <w:trPr>
          <w:trHeight w:val="27"/>
        </w:trPr>
        <w:tc>
          <w:tcPr>
            <w:tcW w:w="49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343</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Inventory</w:t>
            </w:r>
          </w:p>
        </w:tc>
        <w:tc>
          <w:tcPr>
            <w:tcW w:w="4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7,331</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869</w:t>
            </w:r>
          </w:p>
        </w:tc>
      </w:tr>
      <w:tr>
        <w:trPr>
          <w:trHeight w:val="34"/>
        </w:trPr>
        <w:tc>
          <w:tcPr>
            <w:tcW w:w="49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is related to our approved product, TIBSOVO®. There were no write downs for excess and obsolete inventory during the years ended December 31, 2019, 2018 or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building leases are comprised of office and laboratory space under non-cancelable operating leases. These lease agreements have remaining lease terms of eight years and contain various clauses for renewal at our option. The renewal options were not included in the calculation of the operating lease assets and the operating lease liabilities as the renewal option is not reasonably certain of being exercised. The lease agreements do not contain residual value guarantees. Operating lease costs for the year ended December 31, 2019 were $15.1 million, and cash paid for amounts included in the measurement of operating lease liabilities for the year ended December 31, 2019 was $12.8 million.</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11, 2019, we entered into an agreement to lease approximately 13,000 square feet of office space located at 38 Sidney Street, Cambridge, Massachusetts, or the 38 Sidney Lease, with Thirty-Eight Sidney Street, LLC. The initial term of the 38 Sidney Lease commenced on May 1, 2019 and expires on February 29, 2028. At the end of the lease term, we have the option to extend the 38 Sidney Lease for two consecutive terms of five years at fair market rent at the time of the extension. The 38 Sidney Lease provides us with the right to lease additional space within the 38 Sidney Street building and also includes rent escalation clauses and a tenant improvement allowance of $1.0 million.</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38 Sidney Lease, we also amended our existing building leases at 88 Sidney Street, Cambridge, Massachusetts and at 64 Sidney Street, Cambridge, Massachusetts to extend the initial terms of those leases by approximately three years through February 29, 2028. The amendments also provide us with the right to lease additional space at the 64 Sidney Street building. Our existing extension options for the 88 Sidney Street building and 64 Sidney Street building continue as set forth in the existing leases for those buildings.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material short-term leases or financing leases as of December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arriving at the operating lease liabilities as of December 31, 2019, we applied the weighted-average incremental borrowing rate of 5.7% over a weighted-average remaining lease term of 8.2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18" w:name="page119"/>
    <w:bookmarkEnd w:id="118"/>
    <w:p>
      <w:pPr>
        <w:jc w:val="both"/>
        <w:spacing w:after="0" w:line="277" w:lineRule="auto"/>
        <w:rPr>
          <w:sz w:val="20"/>
          <w:szCs w:val="20"/>
          <w:color w:val="auto"/>
        </w:rPr>
      </w:pPr>
      <w:r>
        <w:rPr>
          <w:rFonts w:ascii="Arial" w:cs="Arial" w:eastAsia="Arial" w:hAnsi="Arial"/>
          <w:sz w:val="18"/>
          <w:szCs w:val="18"/>
          <w:color w:val="auto"/>
        </w:rPr>
        <w:t>As of December 31, 2019, undiscounted minimum rental commitments under non-cancelable leases, for each of the next five years and total thereafter,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7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7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13,242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2021</w:t>
            </w:r>
          </w:p>
        </w:tc>
        <w:tc>
          <w:tcPr>
            <w:tcW w:w="37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14,380</w:t>
            </w:r>
          </w:p>
        </w:tc>
      </w:tr>
      <w:tr>
        <w:trPr>
          <w:trHeight w:val="27"/>
        </w:trPr>
        <w:tc>
          <w:tcPr>
            <w:tcW w:w="6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16,773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2023</w:t>
            </w:r>
          </w:p>
        </w:tc>
        <w:tc>
          <w:tcPr>
            <w:tcW w:w="37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18,126</w:t>
            </w:r>
          </w:p>
        </w:tc>
      </w:tr>
      <w:tr>
        <w:trPr>
          <w:trHeight w:val="27"/>
        </w:trPr>
        <w:tc>
          <w:tcPr>
            <w:tcW w:w="6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18,660</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63,891</w:t>
            </w:r>
          </w:p>
        </w:tc>
      </w:tr>
      <w:tr>
        <w:trPr>
          <w:trHeight w:val="27"/>
        </w:trPr>
        <w:tc>
          <w:tcPr>
            <w:tcW w:w="6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Undiscounted minimum rental commitments</w:t>
            </w:r>
          </w:p>
        </w:tc>
        <w:tc>
          <w:tcPr>
            <w:tcW w:w="3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145,072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Interest</w:t>
            </w:r>
          </w:p>
        </w:tc>
        <w:tc>
          <w:tcPr>
            <w:tcW w:w="37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(32,356)</w:t>
            </w:r>
          </w:p>
        </w:tc>
      </w:tr>
      <w:tr>
        <w:trPr>
          <w:trHeight w:val="27"/>
        </w:trPr>
        <w:tc>
          <w:tcPr>
            <w:tcW w:w="6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7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112,716</w:t>
            </w:r>
          </w:p>
        </w:tc>
      </w:tr>
      <w:tr>
        <w:trPr>
          <w:trHeight w:val="27"/>
        </w:trPr>
        <w:tc>
          <w:tcPr>
            <w:tcW w:w="662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minimum rental commitments under non-cancelable leases, for each of the next five years and total thereafter,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12,759</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2020</w:t>
            </w:r>
          </w:p>
        </w:tc>
        <w:tc>
          <w:tcPr>
            <w:tcW w:w="4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13,135</w:t>
            </w:r>
          </w:p>
        </w:tc>
      </w:tr>
      <w:tr>
        <w:trPr>
          <w:trHeight w:val="27"/>
        </w:trPr>
        <w:tc>
          <w:tcPr>
            <w:tcW w:w="62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13,473</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15,552</w:t>
            </w:r>
          </w:p>
        </w:tc>
      </w:tr>
      <w:tr>
        <w:trPr>
          <w:trHeight w:val="27"/>
        </w:trPr>
        <w:tc>
          <w:tcPr>
            <w:tcW w:w="62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17,145</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1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19,223</w:t>
            </w:r>
          </w:p>
        </w:tc>
      </w:tr>
      <w:tr>
        <w:trPr>
          <w:trHeight w:val="27"/>
        </w:trPr>
        <w:tc>
          <w:tcPr>
            <w:tcW w:w="62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rental commitments</w:t>
            </w:r>
          </w:p>
        </w:tc>
        <w:tc>
          <w:tcPr>
            <w:tcW w:w="4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91,287</w:t>
            </w:r>
          </w:p>
        </w:tc>
      </w:tr>
      <w:tr>
        <w:trPr>
          <w:trHeight w:val="27"/>
        </w:trPr>
        <w:tc>
          <w:tcPr>
            <w:tcW w:w="6260" w:type="dxa"/>
            <w:vAlign w:val="bottom"/>
            <w:shd w:val="clear" w:color="auto" w:fill="000000"/>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Rental expense under these leases, net of tenant improvement reimbursements, amounted to $11.4 million, and $6.0 million for the years ended December 31, 2018 and 2017, respectively. In addition to rent, the leases may require us to pay additional amounts for taxes, insurance, maintenance and other operating expenses.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provided our landlord a standby letter of credit of $2.9 million as security for our leases. We are not required to maintain any cash collateral for the standby letter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at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18,982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20,843</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Accrued research and development costs</w:t>
            </w:r>
          </w:p>
        </w:tc>
        <w:tc>
          <w:tcPr>
            <w:tcW w:w="3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21,777</w:t>
            </w:r>
          </w:p>
        </w:tc>
        <w:tc>
          <w:tcPr>
            <w:tcW w:w="44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14,777</w:t>
            </w:r>
          </w:p>
        </w:tc>
      </w:tr>
      <w:tr>
        <w:trPr>
          <w:trHeight w:val="27"/>
        </w:trPr>
        <w:tc>
          <w:tcPr>
            <w:tcW w:w="5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3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8,335</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5,441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3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4,048</w:t>
            </w:r>
          </w:p>
        </w:tc>
        <w:tc>
          <w:tcPr>
            <w:tcW w:w="44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1,086</w:t>
            </w:r>
          </w:p>
        </w:tc>
      </w:tr>
      <w:tr>
        <w:trPr>
          <w:trHeight w:val="27"/>
        </w:trPr>
        <w:tc>
          <w:tcPr>
            <w:tcW w:w="58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53,142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42,147</w:t>
            </w:r>
          </w:p>
        </w:tc>
      </w:tr>
      <w:tr>
        <w:trPr>
          <w:trHeight w:val="27"/>
        </w:trPr>
        <w:tc>
          <w:tcPr>
            <w:tcW w:w="580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Commitments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party to various agreements with contract manufacturing organizations that we are not contractually able to terminate for convenience and avoid any and all future obligations to the vendors. Under such agreements, we are obligated to make certain minimum payments, with the exact amounts in the event of termination to be based on the timing of the termination and the exact terms of the agreement.</w:t>
      </w: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be involved in disputes and legal proceedings in the ordinary course of business. These proceedings may include allegations of infringement of intellectual property, employment or other matters. We do not have any ongoing legal proceedings that, based on our estimates, could have a material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Revenue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wholly owned product, TIBSOVO®, received approval from the FDA on July 20, 2018 for the treatment of adult patients with R/R AML with a susceptible IDH1 mutation. Upon FDA approval of TIBSOVO® in the U.S., we began generating product revenue from U.S. sales of TIBSOVO®.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 net</w:t>
            </w:r>
          </w:p>
        </w:tc>
        <w:tc>
          <w:tcPr>
            <w:tcW w:w="3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59,851</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13,841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shd w:val="clear" w:color="auto" w:fill="000000"/>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balances and activity in each of the product revenue allowance and reserve categories for the year ended December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20" w:type="dxa"/>
            <w:vAlign w:val="bottom"/>
          </w:tcPr>
          <w:p>
            <w:pPr>
              <w:jc w:val="right"/>
              <w:ind w:right="494"/>
              <w:spacing w:after="0"/>
              <w:rPr>
                <w:sz w:val="20"/>
                <w:szCs w:val="20"/>
                <w:color w:val="auto"/>
              </w:rPr>
            </w:pPr>
            <w:r>
              <w:rPr>
                <w:rFonts w:ascii="Arial" w:cs="Arial" w:eastAsia="Arial" w:hAnsi="Arial"/>
                <w:sz w:val="14"/>
                <w:szCs w:val="14"/>
                <w:b w:val="1"/>
                <w:bCs w:val="1"/>
                <w:color w:val="auto"/>
              </w:rPr>
              <w:t>Contractual</w:t>
            </w:r>
          </w:p>
        </w:tc>
        <w:tc>
          <w:tcPr>
            <w:tcW w:w="1680" w:type="dxa"/>
            <w:vAlign w:val="bottom"/>
          </w:tcPr>
          <w:p>
            <w:pPr>
              <w:jc w:val="right"/>
              <w:ind w:right="534"/>
              <w:spacing w:after="0"/>
              <w:rPr>
                <w:sz w:val="20"/>
                <w:szCs w:val="20"/>
                <w:color w:val="auto"/>
              </w:rPr>
            </w:pPr>
            <w:r>
              <w:rPr>
                <w:rFonts w:ascii="Arial" w:cs="Arial" w:eastAsia="Arial" w:hAnsi="Arial"/>
                <w:sz w:val="14"/>
                <w:szCs w:val="14"/>
                <w:b w:val="1"/>
                <w:bCs w:val="1"/>
                <w:color w:val="auto"/>
              </w:rPr>
              <w:t>Government</w:t>
            </w:r>
          </w:p>
        </w:tc>
        <w:tc>
          <w:tcPr>
            <w:tcW w:w="166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Returns</w:t>
            </w:r>
          </w:p>
        </w:tc>
        <w:tc>
          <w:tcPr>
            <w:tcW w:w="13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Adjustments</w:t>
            </w:r>
          </w:p>
        </w:tc>
        <w:tc>
          <w:tcPr>
            <w:tcW w:w="16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Rebates</w:t>
            </w:r>
          </w:p>
        </w:tc>
        <w:tc>
          <w:tcPr>
            <w:tcW w:w="16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592</w:t>
            </w:r>
          </w:p>
        </w:tc>
        <w:tc>
          <w:tcPr>
            <w:tcW w:w="16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325</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334</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Current provisions relating to sales in the current year</w:t>
            </w:r>
          </w:p>
        </w:tc>
        <w:tc>
          <w:tcPr>
            <w:tcW w:w="2020" w:type="dxa"/>
            <w:vAlign w:val="bottom"/>
          </w:tcPr>
          <w:p>
            <w:pPr>
              <w:jc w:val="right"/>
              <w:ind w:right="254"/>
              <w:spacing w:after="0"/>
              <w:rPr>
                <w:sz w:val="20"/>
                <w:szCs w:val="20"/>
                <w:color w:val="auto"/>
              </w:rPr>
            </w:pPr>
            <w:r>
              <w:rPr>
                <w:rFonts w:ascii="Arial" w:cs="Arial" w:eastAsia="Arial" w:hAnsi="Arial"/>
                <w:sz w:val="18"/>
                <w:szCs w:val="18"/>
                <w:color w:val="auto"/>
              </w:rPr>
              <w:t>7,899</w:t>
            </w:r>
          </w:p>
        </w:tc>
        <w:tc>
          <w:tcPr>
            <w:tcW w:w="1680" w:type="dxa"/>
            <w:vAlign w:val="bottom"/>
          </w:tcPr>
          <w:p>
            <w:pPr>
              <w:jc w:val="right"/>
              <w:ind w:right="314"/>
              <w:spacing w:after="0"/>
              <w:rPr>
                <w:sz w:val="20"/>
                <w:szCs w:val="20"/>
                <w:color w:val="auto"/>
              </w:rPr>
            </w:pPr>
            <w:r>
              <w:rPr>
                <w:rFonts w:ascii="Arial" w:cs="Arial" w:eastAsia="Arial" w:hAnsi="Arial"/>
                <w:sz w:val="18"/>
                <w:szCs w:val="18"/>
                <w:color w:val="auto"/>
              </w:rPr>
              <w:t>2,387</w:t>
            </w:r>
          </w:p>
        </w:tc>
        <w:tc>
          <w:tcPr>
            <w:tcW w:w="1660" w:type="dxa"/>
            <w:vAlign w:val="bottom"/>
          </w:tcPr>
          <w:p>
            <w:pPr>
              <w:jc w:val="right"/>
              <w:ind w:right="353"/>
              <w:spacing w:after="0"/>
              <w:rPr>
                <w:sz w:val="20"/>
                <w:szCs w:val="20"/>
                <w:color w:val="auto"/>
              </w:rPr>
            </w:pPr>
            <w:r>
              <w:rPr>
                <w:rFonts w:ascii="Arial" w:cs="Arial" w:eastAsia="Arial" w:hAnsi="Arial"/>
                <w:sz w:val="18"/>
                <w:szCs w:val="18"/>
                <w:color w:val="auto"/>
              </w:rPr>
              <w:t>1,464</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relating to prior years</w:t>
            </w:r>
          </w:p>
        </w:tc>
        <w:tc>
          <w:tcPr>
            <w:tcW w:w="20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8</w:t>
            </w:r>
          </w:p>
        </w:tc>
        <w:tc>
          <w:tcPr>
            <w:tcW w:w="16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(41)</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Payments/returns relating to sales in the current year</w:t>
            </w:r>
          </w:p>
        </w:tc>
        <w:tc>
          <w:tcPr>
            <w:tcW w:w="2020" w:type="dxa"/>
            <w:vAlign w:val="bottom"/>
          </w:tcPr>
          <w:p>
            <w:pPr>
              <w:jc w:val="right"/>
              <w:ind w:right="214"/>
              <w:spacing w:after="0"/>
              <w:rPr>
                <w:sz w:val="20"/>
                <w:szCs w:val="20"/>
                <w:color w:val="auto"/>
              </w:rPr>
            </w:pPr>
            <w:r>
              <w:rPr>
                <w:rFonts w:ascii="Arial" w:cs="Arial" w:eastAsia="Arial" w:hAnsi="Arial"/>
                <w:sz w:val="18"/>
                <w:szCs w:val="18"/>
                <w:color w:val="auto"/>
              </w:rPr>
              <w:t>(7,027)</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(1,286)</w:t>
            </w:r>
          </w:p>
        </w:tc>
        <w:tc>
          <w:tcPr>
            <w:tcW w:w="16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Payments/returns relating to sales in the prior years</w:t>
            </w:r>
          </w:p>
        </w:tc>
        <w:tc>
          <w:tcPr>
            <w:tcW w:w="20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(598)</w:t>
            </w:r>
          </w:p>
        </w:tc>
        <w:tc>
          <w:tcPr>
            <w:tcW w:w="16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(261)</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7"/>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2019</w:t>
            </w:r>
          </w:p>
        </w:tc>
        <w:tc>
          <w:tcPr>
            <w:tcW w:w="2020" w:type="dxa"/>
            <w:vAlign w:val="bottom"/>
            <w:tcBorders>
              <w:top w:val="single" w:sz="8" w:color="auto"/>
            </w:tcBorders>
          </w:tcPr>
          <w:p>
            <w:pPr>
              <w:jc w:val="right"/>
              <w:ind w:right="254"/>
              <w:spacing w:after="0"/>
              <w:rPr>
                <w:sz w:val="20"/>
                <w:szCs w:val="20"/>
                <w:color w:val="auto"/>
              </w:rPr>
            </w:pPr>
            <w:r>
              <w:rPr>
                <w:rFonts w:ascii="Arial" w:cs="Arial" w:eastAsia="Arial" w:hAnsi="Arial"/>
                <w:sz w:val="18"/>
                <w:szCs w:val="18"/>
                <w:color w:val="auto"/>
              </w:rPr>
              <w:t>874</w:t>
            </w:r>
          </w:p>
        </w:tc>
        <w:tc>
          <w:tcPr>
            <w:tcW w:w="168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rPr>
              <w:t>1,124</w:t>
            </w:r>
          </w:p>
        </w:tc>
        <w:tc>
          <w:tcPr>
            <w:tcW w:w="166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1,798</w:t>
            </w: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34"/>
        </w:trPr>
        <w:tc>
          <w:tcPr>
            <w:tcW w:w="46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balances and activity in each of the product revenue allowance and reserve categories for the year ended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20" w:type="dxa"/>
            <w:vAlign w:val="bottom"/>
          </w:tcPr>
          <w:p>
            <w:pPr>
              <w:jc w:val="right"/>
              <w:ind w:right="494"/>
              <w:spacing w:after="0"/>
              <w:rPr>
                <w:sz w:val="20"/>
                <w:szCs w:val="20"/>
                <w:color w:val="auto"/>
              </w:rPr>
            </w:pPr>
            <w:r>
              <w:rPr>
                <w:rFonts w:ascii="Arial" w:cs="Arial" w:eastAsia="Arial" w:hAnsi="Arial"/>
                <w:sz w:val="14"/>
                <w:szCs w:val="14"/>
                <w:b w:val="1"/>
                <w:bCs w:val="1"/>
                <w:color w:val="auto"/>
              </w:rPr>
              <w:t>Contractual</w:t>
            </w:r>
          </w:p>
        </w:tc>
        <w:tc>
          <w:tcPr>
            <w:tcW w:w="1700" w:type="dxa"/>
            <w:vAlign w:val="bottom"/>
          </w:tcPr>
          <w:p>
            <w:pPr>
              <w:jc w:val="right"/>
              <w:ind w:right="554"/>
              <w:spacing w:after="0"/>
              <w:rPr>
                <w:sz w:val="20"/>
                <w:szCs w:val="20"/>
                <w:color w:val="auto"/>
              </w:rPr>
            </w:pPr>
            <w:r>
              <w:rPr>
                <w:rFonts w:ascii="Arial" w:cs="Arial" w:eastAsia="Arial" w:hAnsi="Arial"/>
                <w:sz w:val="14"/>
                <w:szCs w:val="14"/>
                <w:b w:val="1"/>
                <w:bCs w:val="1"/>
                <w:color w:val="auto"/>
              </w:rPr>
              <w:t>Government</w:t>
            </w:r>
          </w:p>
        </w:tc>
        <w:tc>
          <w:tcPr>
            <w:tcW w:w="166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Returns</w:t>
            </w:r>
          </w:p>
        </w:tc>
        <w:tc>
          <w:tcPr>
            <w:tcW w:w="13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Adjustments</w:t>
            </w:r>
          </w:p>
        </w:tc>
        <w:tc>
          <w:tcPr>
            <w:tcW w:w="17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Rebates</w:t>
            </w:r>
          </w:p>
        </w:tc>
        <w:tc>
          <w:tcPr>
            <w:tcW w:w="16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0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140"/>
              <w:spacing w:after="0"/>
              <w:rPr>
                <w:sz w:val="20"/>
                <w:szCs w:val="20"/>
                <w:color w:val="auto"/>
              </w:rPr>
            </w:pPr>
            <w:r>
              <w:rPr>
                <w:rFonts w:ascii="Arial" w:cs="Arial" w:eastAsia="Arial" w:hAnsi="Arial"/>
                <w:sz w:val="18"/>
                <w:szCs w:val="18"/>
                <w:color w:val="auto"/>
              </w:rPr>
              <w:t>Current provisions relating to sales in the current year</w:t>
            </w:r>
          </w:p>
        </w:tc>
        <w:tc>
          <w:tcPr>
            <w:tcW w:w="2020" w:type="dxa"/>
            <w:vAlign w:val="bottom"/>
          </w:tcPr>
          <w:p>
            <w:pPr>
              <w:jc w:val="right"/>
              <w:ind w:right="254"/>
              <w:spacing w:after="0"/>
              <w:rPr>
                <w:sz w:val="20"/>
                <w:szCs w:val="20"/>
                <w:color w:val="auto"/>
              </w:rPr>
            </w:pPr>
            <w:r>
              <w:rPr>
                <w:rFonts w:ascii="Arial" w:cs="Arial" w:eastAsia="Arial" w:hAnsi="Arial"/>
                <w:sz w:val="18"/>
                <w:szCs w:val="18"/>
                <w:color w:val="auto"/>
              </w:rPr>
              <w:t>1,777</w:t>
            </w:r>
          </w:p>
        </w:tc>
        <w:tc>
          <w:tcPr>
            <w:tcW w:w="1700" w:type="dxa"/>
            <w:vAlign w:val="bottom"/>
          </w:tcPr>
          <w:p>
            <w:pPr>
              <w:jc w:val="right"/>
              <w:ind w:right="334"/>
              <w:spacing w:after="0"/>
              <w:rPr>
                <w:sz w:val="20"/>
                <w:szCs w:val="20"/>
                <w:color w:val="auto"/>
              </w:rPr>
            </w:pPr>
            <w:r>
              <w:rPr>
                <w:rFonts w:ascii="Arial" w:cs="Arial" w:eastAsia="Arial" w:hAnsi="Arial"/>
                <w:sz w:val="18"/>
                <w:szCs w:val="18"/>
                <w:color w:val="auto"/>
              </w:rPr>
              <w:t>422</w:t>
            </w:r>
          </w:p>
        </w:tc>
        <w:tc>
          <w:tcPr>
            <w:tcW w:w="1660" w:type="dxa"/>
            <w:vAlign w:val="bottom"/>
          </w:tcPr>
          <w:p>
            <w:pPr>
              <w:jc w:val="right"/>
              <w:ind w:right="353"/>
              <w:spacing w:after="0"/>
              <w:rPr>
                <w:sz w:val="20"/>
                <w:szCs w:val="20"/>
                <w:color w:val="auto"/>
              </w:rPr>
            </w:pPr>
            <w:r>
              <w:rPr>
                <w:rFonts w:ascii="Arial" w:cs="Arial" w:eastAsia="Arial" w:hAnsi="Arial"/>
                <w:sz w:val="18"/>
                <w:szCs w:val="18"/>
                <w:color w:val="auto"/>
              </w:rPr>
              <w:t>334</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relating to prior years</w:t>
            </w:r>
          </w:p>
        </w:tc>
        <w:tc>
          <w:tcPr>
            <w:tcW w:w="20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140"/>
              <w:spacing w:after="0"/>
              <w:rPr>
                <w:sz w:val="20"/>
                <w:szCs w:val="20"/>
                <w:color w:val="auto"/>
              </w:rPr>
            </w:pPr>
            <w:r>
              <w:rPr>
                <w:rFonts w:ascii="Arial" w:cs="Arial" w:eastAsia="Arial" w:hAnsi="Arial"/>
                <w:sz w:val="18"/>
                <w:szCs w:val="18"/>
                <w:color w:val="auto"/>
              </w:rPr>
              <w:t>Payments/returns relating to sales in the current year</w:t>
            </w:r>
          </w:p>
        </w:tc>
        <w:tc>
          <w:tcPr>
            <w:tcW w:w="2020" w:type="dxa"/>
            <w:vAlign w:val="bottom"/>
          </w:tcPr>
          <w:p>
            <w:pPr>
              <w:jc w:val="right"/>
              <w:ind w:right="214"/>
              <w:spacing w:after="0"/>
              <w:rPr>
                <w:sz w:val="20"/>
                <w:szCs w:val="20"/>
                <w:color w:val="auto"/>
              </w:rPr>
            </w:pPr>
            <w:r>
              <w:rPr>
                <w:rFonts w:ascii="Arial" w:cs="Arial" w:eastAsia="Arial" w:hAnsi="Arial"/>
                <w:sz w:val="18"/>
                <w:szCs w:val="18"/>
                <w:color w:val="auto"/>
              </w:rPr>
              <w:t>(1,185)</w:t>
            </w:r>
          </w:p>
        </w:tc>
        <w:tc>
          <w:tcPr>
            <w:tcW w:w="1700" w:type="dxa"/>
            <w:vAlign w:val="bottom"/>
          </w:tcPr>
          <w:p>
            <w:pPr>
              <w:jc w:val="right"/>
              <w:ind w:right="274"/>
              <w:spacing w:after="0"/>
              <w:rPr>
                <w:sz w:val="20"/>
                <w:szCs w:val="20"/>
                <w:color w:val="auto"/>
              </w:rPr>
            </w:pPr>
            <w:r>
              <w:rPr>
                <w:rFonts w:ascii="Arial" w:cs="Arial" w:eastAsia="Arial" w:hAnsi="Arial"/>
                <w:sz w:val="18"/>
                <w:szCs w:val="18"/>
                <w:color w:val="auto"/>
              </w:rPr>
              <w:t>(97)</w:t>
            </w:r>
          </w:p>
        </w:tc>
        <w:tc>
          <w:tcPr>
            <w:tcW w:w="16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Payments/returns relating to sales in the prior years</w:t>
            </w:r>
          </w:p>
        </w:tc>
        <w:tc>
          <w:tcPr>
            <w:tcW w:w="20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December 31, 2018</w:t>
            </w:r>
          </w:p>
        </w:tc>
        <w:tc>
          <w:tcPr>
            <w:tcW w:w="2020" w:type="dxa"/>
            <w:vAlign w:val="bottom"/>
            <w:tcBorders>
              <w:top w:val="single" w:sz="8" w:color="auto"/>
            </w:tcBorders>
          </w:tcPr>
          <w:p>
            <w:pPr>
              <w:jc w:val="right"/>
              <w:ind w:right="254"/>
              <w:spacing w:after="0"/>
              <w:rPr>
                <w:sz w:val="20"/>
                <w:szCs w:val="20"/>
                <w:color w:val="auto"/>
              </w:rPr>
            </w:pPr>
            <w:r>
              <w:rPr>
                <w:rFonts w:ascii="Arial" w:cs="Arial" w:eastAsia="Arial" w:hAnsi="Arial"/>
                <w:sz w:val="18"/>
                <w:szCs w:val="18"/>
                <w:color w:val="auto"/>
              </w:rPr>
              <w:t>592</w:t>
            </w:r>
          </w:p>
        </w:tc>
        <w:tc>
          <w:tcPr>
            <w:tcW w:w="170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rPr>
              <w:t>325</w:t>
            </w:r>
          </w:p>
        </w:tc>
        <w:tc>
          <w:tcPr>
            <w:tcW w:w="166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334</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34"/>
        </w:trPr>
        <w:tc>
          <w:tcPr>
            <w:tcW w:w="46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revenue-related reserves for the years ended December 31, 2019 and 2018 above, included in our consolidated balance sheets, are summarized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w:t>
            </w:r>
          </w:p>
        </w:tc>
        <w:tc>
          <w:tcPr>
            <w:tcW w:w="3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326</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Component of accrued expenses</w:t>
            </w:r>
          </w:p>
        </w:tc>
        <w:tc>
          <w:tcPr>
            <w:tcW w:w="318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3,256</w:t>
            </w:r>
          </w:p>
        </w:tc>
        <w:tc>
          <w:tcPr>
            <w:tcW w:w="28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925</w:t>
            </w:r>
          </w:p>
        </w:tc>
      </w:tr>
      <w:tr>
        <w:trPr>
          <w:trHeight w:val="27"/>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revenue-related reserves</w:t>
            </w:r>
          </w:p>
        </w:tc>
        <w:tc>
          <w:tcPr>
            <w:tcW w:w="3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3,796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1,251</w:t>
            </w:r>
          </w:p>
        </w:tc>
      </w:tr>
      <w:tr>
        <w:trPr>
          <w:trHeight w:val="27"/>
        </w:trPr>
        <w:tc>
          <w:tcPr>
            <w:tcW w:w="538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our contract assets and liabilities during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4"/>
                <w:szCs w:val="14"/>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Accounts receivable, net </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5,076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71,542</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(67,666)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Additions to accounts receivable, net relate to amounts billed to Customers for product sales and deductions primarily relate to collection of receivables during the reporting period.</w:t>
      </w: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color w:val="auto"/>
        </w:rPr>
        <w:t>The following table presents changes in our contract assets and liabilities during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4"/>
                <w:szCs w:val="14"/>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Accounts receivable, net </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16,374</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(11,298)</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Additions to accounts receivable, net relate to amounts billed to Customers for product sales and deductions primarily relate to collection of receivables during the reporting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Collaboration and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 Corporation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date, our revenue has primarily been generated from our collaboration agreements with Celgene, or collectively, the Collaboration Agreements. Celgene is a related party through ownership of our common stock. In April 2010, we entered into a discovery and development collaboration and license agreement focused on cancer metabolism, or the 2010 Agreement. The 2010 Agreement was amended in October 2011 and July 2014. In April 2015, we entered into a joint worldwide development and profit share collaboration and license agreement with Celgene, and our wholly owned subsidiary, Agios International Sarl, entered into a collaboration and license agreement with Celgene International II Sarl, or collectively, the AG-881 Agreements, to establish a worldwide collaboration focused on the development and commercialization of vorasidenib products. The AG-881 Agreements were terminated effective September 4, 2018. In May 2016, we entered into a master research and collaboration agreement with Celgene, or the 2016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Agreement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2016, we entered into the 2016 Agreement focused on metabolic immuno-oncology, a developing field which aims to modulate the activity of relevant immune cells by targeting critical metabolic nodes, thereby enhancing the immune mediated anti-tumor response. In addition to new programs identified under the 2016 Agreement, both parties also agreed that all future development and commercialization of two remaining cancer metabolism programs discovered under the 2010 Agreement, including AG-270, will now be governed by the 2016 Agreement.</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research term of the 2016 Agreement, we plan to conduct research programs focused on discovering compounds that are active against metabolic targets in the immuno-oncology, or IO, field. The initial four-year research term will expire on May 17, 2020, and may be extended for up to two, or in specified cases, up to four additional one-year terms.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each program under the 2016 Agreement, we may nominate compounds that meet specified criteria as development candidates and, in limited circumstances, Celgene may also nominate compounds as development candidates for each such program. Celgene may designate the applicable program for further development following any such nomination, after which we may conduct, at our expense, additional preclinical and clinical development for such program through the completion of an initial phase 1 dose escalation study.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the research term, Celgene may designate for continued development up to three research programs for which development candidates have yet to be nominated, which are referred to as continuation programs. We may conduct further research and preclinical and clinical development activities on any continuation program, at our expense, through the completion of an initial phase 1 dose escalation study.</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granted Celgene the right to obtain exclusive options for development and commercialization rights for each program that Celgene has designated for further development, and for each continuation program. Celgene may exercise each such option beginning on the designation of a development candidate for such program (or on the designation of such program as a continuation program) and ending on the earlier of: (i) the end of a specified period after we have furnished Celgene with specified information about the initial phase 1 dose escalation study for such program, or (ii) January 1, 2030. Research programs that have applications in the inflammation or autoimmune, or I&amp;I, field that may result from the 2016 Agreement will also be subject to the exclusive options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rights to any program that Celgene does not designate for further development or as to which it does not exercise its option.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2016 Agreement, following Celgene’s exercise of its option with respect to a program, the parties will enter into either a co-development and co-commercialization agreement if such program is in the IO field, or a license agreement if such program is in the I&amp;I field. Under each co-development and co-commercialization agreement, the two parties will co-develop and co-commercialize licensed products worldwide. Either we or Celgene will lead development and commercialization of licensed products for the United States, and Celgene will lead development and commercialization 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21" w:name="page122"/>
    <w:bookmarkEnd w:id="121"/>
    <w:p>
      <w:pPr>
        <w:jc w:val="both"/>
        <w:spacing w:after="0" w:line="308" w:lineRule="auto"/>
        <w:rPr>
          <w:sz w:val="20"/>
          <w:szCs w:val="20"/>
          <w:color w:val="auto"/>
        </w:rPr>
      </w:pPr>
      <w:r>
        <w:rPr>
          <w:rFonts w:ascii="Arial" w:cs="Arial" w:eastAsia="Arial" w:hAnsi="Arial"/>
          <w:sz w:val="17"/>
          <w:szCs w:val="17"/>
          <w:color w:val="auto"/>
        </w:rPr>
        <w:t>licensed products outside of the United States. Depending on the country, the parties will each have the right to provide a portion of field-based marketing activities. Under each license agreement, Celgene will have the sole right to develop and commercialize licensed products worldwide.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Co-development and co-commercialization agreements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each co-development and co-commercialization agreement entered into under the 2016 Agreement, the parties will split all post-option exercise worldwide development costs, subject to specified exceptions, as well as any profits from any net sales of, or commercialization losses related to, licensed products in the IO field. Celgene has the option to designate one program in the IO field as the 65/35 program, for which Celgene will be the lead party for the United States and will have a 65% profit or loss share. For programs in the IO field other than the 65/35 program, we and Celgene will alternate, on a program-by-program basis, being the lead party for the United States, with us having the right to be the lead party for the first such program, and each party will have a 50% profit or loss share. The lead party for the United States will book commercial sales of licensed products, if any, in the United States, and Celgene will book commercial sales of licensed products, if any, outside of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Under each license agreement under the 2016 Agreement, Celgene will be responsible for all post-option exercise worldwide development and associated costs, subject to specified exceptions, as well as worldwide commercialization and associated costs, for licensed products in the I&amp;I field.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2016 Agreement, we received an initial upfront payment in the amount of $200.0 million. The 2016 Agreement provides specified rights to extend the research term for up to two, or in specified cases, up to four, additional years by paying a $40.0 million per-year extension fee. Celgene will pay an $8.0 million designation fee for each program that Celgene designates for further development and for each continuation program. During the year ended December 31, 2017, we received $8.0 million from Celgene upon the designation of AG-270 as a development candidate. For each program as to which Celgene exercises its option to develop and commercialize, subject to antitrust clearance, Celgene will pay an option exercise fee of at least $30.0 million for any designated development program and at least $35.0 million for any continuation programs. In certain cases, Celgene may exercise its option to develop and commercialize two early-stage I&amp;I programs, prior to Celgene designating the program for further development, by paying an option exercise fee of $10.0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are eligible to receive the following milestone-based payments associated with the 2016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w:t>
            </w:r>
          </w:p>
        </w:tc>
        <w:tc>
          <w:tcPr>
            <w:tcW w:w="518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Milestone</w:t>
            </w: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Amount</w:t>
            </w: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65/35 program in IO field</w:t>
            </w:r>
          </w:p>
        </w:tc>
        <w:tc>
          <w:tcPr>
            <w:tcW w:w="518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$25.0 million</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65/35 program in IO field</w:t>
            </w:r>
          </w:p>
        </w:tc>
        <w:tc>
          <w:tcPr>
            <w:tcW w:w="5180" w:type="dxa"/>
            <w:vAlign w:val="bottom"/>
          </w:tcPr>
          <w:p>
            <w:pPr>
              <w:ind w:left="192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$183.8 million</w:t>
            </w:r>
          </w:p>
        </w:tc>
      </w:tr>
      <w:tr>
        <w:trPr>
          <w:trHeight w:val="27"/>
        </w:trPr>
        <w:tc>
          <w:tcPr>
            <w:tcW w:w="38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50/50 program in IO field</w:t>
            </w:r>
          </w:p>
        </w:tc>
        <w:tc>
          <w:tcPr>
            <w:tcW w:w="518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 million</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50/50 program in IO field</w:t>
            </w:r>
          </w:p>
        </w:tc>
        <w:tc>
          <w:tcPr>
            <w:tcW w:w="5180" w:type="dxa"/>
            <w:vAlign w:val="bottom"/>
          </w:tcPr>
          <w:p>
            <w:pPr>
              <w:ind w:left="192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$148.8 million</w:t>
            </w:r>
          </w:p>
        </w:tc>
      </w:tr>
      <w:tr>
        <w:trPr>
          <w:trHeight w:val="27"/>
        </w:trPr>
        <w:tc>
          <w:tcPr>
            <w:tcW w:w="38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I&amp;I field</w:t>
            </w:r>
          </w:p>
        </w:tc>
        <w:tc>
          <w:tcPr>
            <w:tcW w:w="518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Specified clinical development event</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$25.0 million</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I&amp;I field</w:t>
            </w:r>
          </w:p>
        </w:tc>
        <w:tc>
          <w:tcPr>
            <w:tcW w:w="5180" w:type="dxa"/>
            <w:vAlign w:val="bottom"/>
          </w:tcPr>
          <w:p>
            <w:pPr>
              <w:ind w:left="1920"/>
              <w:spacing w:after="0"/>
              <w:rPr>
                <w:sz w:val="20"/>
                <w:szCs w:val="20"/>
                <w:color w:val="auto"/>
              </w:rPr>
            </w:pPr>
            <w:r>
              <w:rPr>
                <w:rFonts w:ascii="Arial" w:cs="Arial" w:eastAsia="Arial" w:hAnsi="Arial"/>
                <w:sz w:val="18"/>
                <w:szCs w:val="18"/>
                <w:color w:val="auto"/>
              </w:rPr>
              <w:t>Specified regulatory milestone events</w:t>
            </w:r>
          </w:p>
        </w:tc>
        <w:tc>
          <w:tcPr>
            <w:tcW w:w="2420" w:type="dxa"/>
            <w:vAlign w:val="bottom"/>
          </w:tcPr>
          <w:p>
            <w:pPr>
              <w:ind w:left="440"/>
              <w:spacing w:after="0"/>
              <w:rPr>
                <w:sz w:val="20"/>
                <w:szCs w:val="20"/>
                <w:color w:val="auto"/>
              </w:rPr>
            </w:pPr>
            <w:r>
              <w:rPr>
                <w:rFonts w:ascii="Arial" w:cs="Arial" w:eastAsia="Arial" w:hAnsi="Arial"/>
                <w:sz w:val="18"/>
                <w:szCs w:val="18"/>
                <w:color w:val="auto"/>
              </w:rPr>
              <w:t>Up to $236.3 million</w:t>
            </w:r>
          </w:p>
        </w:tc>
      </w:tr>
      <w:tr>
        <w:trPr>
          <w:trHeight w:val="27"/>
        </w:trPr>
        <w:tc>
          <w:tcPr>
            <w:tcW w:w="38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I&amp;I field</w:t>
            </w:r>
          </w:p>
        </w:tc>
        <w:tc>
          <w:tcPr>
            <w:tcW w:w="518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Specified commercial milestone events</w:t>
            </w:r>
          </w:p>
        </w:tc>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Up to $125.0 million</w:t>
            </w:r>
          </w:p>
        </w:tc>
      </w:tr>
      <w:tr>
        <w:trPr>
          <w:trHeight w:val="27"/>
        </w:trPr>
        <w:tc>
          <w:tcPr>
            <w:tcW w:w="3800" w:type="dxa"/>
            <w:vAlign w:val="bottom"/>
            <w:shd w:val="clear" w:color="auto" w:fill="000000"/>
          </w:tcPr>
          <w:p>
            <w:pPr>
              <w:spacing w:after="0"/>
              <w:rPr>
                <w:sz w:val="2"/>
                <w:szCs w:val="2"/>
                <w:color w:val="auto"/>
              </w:rPr>
            </w:pPr>
          </w:p>
        </w:tc>
        <w:tc>
          <w:tcPr>
            <w:tcW w:w="5180" w:type="dxa"/>
            <w:vAlign w:val="bottom"/>
            <w:shd w:val="clear" w:color="auto" w:fill="000000"/>
          </w:tcPr>
          <w:p>
            <w:pPr>
              <w:spacing w:after="0"/>
              <w:rPr>
                <w:sz w:val="2"/>
                <w:szCs w:val="2"/>
                <w:color w:val="auto"/>
              </w:rPr>
            </w:pPr>
          </w:p>
        </w:tc>
        <w:tc>
          <w:tcPr>
            <w:tcW w:w="24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for each licensed program in the I&amp;I field, we are eligible to receive royalties at tiered, low double-digit percentage rates on Celgene’s net sales, if any, of the applicable licensed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Opt-out right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2016 Agreement, we may elect to opt out of the cost and profit share under any co-development and co-commercialization agreement, subject to specified exceptions. Upon opting out, Celgene will have the sole right to develop, manufacture and commercialize the applicable licensed products throughout the world, at its cost, and we will undertake transitional activities reasonably necessary to transfer the development, manufacture and commercialization of such licensed products to Celgene, at our expense. Further, in lieu of the profit or loss sharing described above, we would be eligible to receive royalties at tiered, low double-digit percentage rates on Celgene’s net sales, if any, of the applicable licensed products. However, we would continue to be eligible to receive the developmental and regulatory milestone-based payments described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of the 2016 Agreement commenced on May 17, 2016 and, if not terminated earlier, will expire upon the later of the last-to-expire of the research term and all option exercise periods, or, if an option is exercised by Celgene for one or 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8"/>
          <w:szCs w:val="18"/>
          <w:color w:val="auto"/>
        </w:rPr>
        <w:t>programs in the collaboration, upon the termination or expiration of the last-to-exist co-development and co-commercialization agreement or license agreement, as applicable, for any such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specified exceptions, Celgene may terminate the 2016 Agreement in its entirety for any reason by providing us with prior written notice if there are no active co-development and co-commercialization agreements or license agreements in place or on a program-by-program basis if there are no active co-development and co-commercialization agreements or license agreements in place for the terminated program(s). Either party may terminate the 2016 Agreement for the insolvency of the other party. On a program-by-program basis, prior to the exercise of an option, either party may terminate the 2016 Agreement either in its entirety or with respect to one or more programs on prior written notice to the other party in the case of an uncured material breach by the other party that frustrates the fundamental purpose of the 2016 Agreement. Following the exercise of an option for a program, either party may terminate the 2016 Agreement with respect to such program if such party terminates the co-development and co-commercialization agreement or license agreement for such program for an uncured material breach by the other party that frustrates the fundamental purpose of such agreement. Either party may terminate a co-development and co-commercialization agreement or a license agreement upon the bankruptcy or insolvency of the other party. Either party also has the right to terminate the co-development and co-commercialization agreement or license agreement if the other party or any of its affiliates challenges the validity, scope or enforceability of or otherwise opposes, any patent included within the intellectual property rights licensed to the other party under such agreement.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While any of Celgene’s options remain available under the 2016 Agreement, subject to specified exceptions, we may not directly or indirectly develop, manufacture or commercialize, outside of the 2016 Agreement, any therapeutic modality in the IO or I&amp;I field with specified activity against a metabolic target.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term of each co-development and co-commercialization agreement and license agreement, subject to specified exceptions, neither we nor Celgene may directly or indirectly develop, manufacture or commercialize outside of such agreement any therapeutic modality in any field with specified activity against the metabolic target that is the focus of the program licensed under such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Ivosidenib Letter Agreement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17, 2016, we entered into a letter agreement with Celgene regarding ivosidenib, or the Ivosidenib Letter Agreement. Under the Ivosidenib Letter Agreement, the parties agreed to terminate the 2010 Agreement, effective as of August 15, 2016, as to the program directed to the IDH1 target, for which ivosidenib is the lead development candidate. Under the 2010 Agreement, Celgene had held development and commercialization rights to the IDH1 program outside of the United States, and we held such rights inside the United States. As a result of the Ivosidenib Letter Agreement, we obtained global rights to ivosidenib and the IDH1 program. Neither party will have any further financial obligation, including royalties or milestone payments, to the other concerning ivosidenib or the IDH1 program. Under the terms of the Ivosidenib Letter Agreement, the parties also agreed to conduct specified transitional activities in connection with the termination. In addition, pursuant to the Ivosidenib Letter Agreement, the parties are released from their exclusivity obligations under the 2010 Agreement with respect to the IDH1 program. The Ivosidenib Letter Agreement does not affect the AG-881 Agreements, which were directed to both the IDH1 target and the IDH2 target, and were subsequently terminated in September 2018 as discussed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AG-881 Agreements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Celgene terminated the AG-881 Agreements, effective as of September 4, 2018. From and after September 4, 2018, we obtained sole global rights to vorasidenib. Neither we nor Celgene will have any further financial obligation under the AG-881 Agreements, including milestones, royalties or other payments, except that (a) Celgene is eligible to receive royalties from us at a low single-digit percentage rate on worldwide net sales of products containing vorasidenib and (b) we and Celgene agreed to split certain agreed-upon worldwide development costs for vorasidenib until December 31, 2018. In addition, for a specified period and subject to specified exceptions, Celgene and its affiliates are prohibited from developing, manufacturing or commercializing any product that inhibits IDH1 at specified levels of binding for any indication and we are prohibited from developing, manufacturing or commercializing vorasidenib in hematologic indications.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2010 Agreement, which was entered into in April 2010, was amended in October 2011 and July 2014. The goal of the collaboration was to discover, develop and commercialize disease-altering therapies in oncology based on our cancer metabolism research platform. We initially led discovery, preclinical and early clinical development for all cancer metabolism programs under the collaboration. The discovery phase of the 2010 Agreement expired in April 2016.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3" w:name="page124"/>
    <w:bookmarkEnd w:id="123"/>
    <w:p>
      <w:pPr>
        <w:jc w:val="both"/>
        <w:spacing w:after="0" w:line="276" w:lineRule="auto"/>
        <w:rPr>
          <w:sz w:val="20"/>
          <w:szCs w:val="20"/>
          <w:color w:val="auto"/>
        </w:rPr>
      </w:pPr>
      <w:r>
        <w:rPr>
          <w:rFonts w:ascii="Arial" w:cs="Arial" w:eastAsia="Arial" w:hAnsi="Arial"/>
          <w:sz w:val="17"/>
          <w:szCs w:val="17"/>
          <w:color w:val="auto"/>
        </w:rPr>
        <w:t>Upon agreement to terminate the 2010 Agreement, effective as of August 15, 2016, as to the program directed to the IDH1 target, for which ivosidenib is the lead development candidate, the sole program remaining under the 2010 Agreement is IDHIFA®, a co-commercialized licensed program for which Celgene leads and funds global development and commercialization activities. We have exercised our right to participate in a portion of commercialization activities in the United States for IDHIFA® in accordance with the applicable commercialization plan. On August 1, 2017, the FDA granted Celgene approval of IDHIFA® for the treatment of adult patients with R/R AML with an IDH2 mutation as detected by an FDA-approved test.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remaining terms of the 2010 Agreement, we are eligible to receive up to $80.0 million in potential milestone payments for the IDHIFA® program. The potential milestone payments are comprised of: (i) up to $55.0 million in milestone payments upon achievement of specified ex-U.S. regulatory milestone events, of which $35.0 million relates to the first regulatory approval in any of China, Japan or a major European country, and (ii) a $25.0 million milestone payment upon achievement of a specified commercial milestone event.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Under the 2010 Agreement, we receive royalties at tiered, low-double digit to mid-teen percentage rates on net sales of IDHIFA®.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terminated earlier by either party, the term of the 2010 Agreement will continue until the expiration of all royalty terms with respect to IDHIFA®. Celgene may terminate this agreement for convenience in its entirety upon ninety days written notice to us. If either party is in material breach and fails to cure such breach within the specified cure period, the other party may terminate the 2010 Agreement in its entirety. Either party may terminate the agreement in the event of specified insolvency events involving the other party.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identified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adoption of ASC 606 on January 1, 2018, we applied the practical expedient that permits aggregating the effect of all contract modifications that occurred prior to January 1, 2018. No other practical expedients were used. Similar to the accounting under ASC 605-25, the 2016 Agreement was determined to be a modification of the 2010 Agreement and the AG-881 Agreements.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determining the appropriate amount of revenue to be recognized under ASC 606, we performed the following steps: (i) identified the promised goods or services in the contract; (ii) determined whether the promised goods or services are performance obligations including whether they are distinct in the context of the contract; (iii) measured the transaction price, including the constraint on variable consideration; (iv) allocated the transaction price to the performance obligations; and (v) recognized revenue when (or as) we satisfied each performance obligation.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 price is calculated as the total amount of consideration to which the Company expects to be entitled to in exchange of transferring the promised goods and services to Celgene, and excludes any amounts of variable consideration that have been constrained (being contingency based development, regulatory and sales based milestones for which the Company cannot assert it is probable that a significant reversal of cumulative revenue recognized will not occur when the uncertainty associated with the milestone is subsequently resolved). The transaction price upon the adoption of ASC 606 was comprised of all consideration received to date under the agreements, as well as the estimated amount of research and development cost reimbursements that will be received under the agreement.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transaction price was subsequently allocated to the individual performance obligations based on their relative standalone selling prices. We developed assumptions that require judgment to determine the stand-alone selling price, or SSP, for each performance obligation identified in the contract. We use key assumptions to determine the SSP, which include forecast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6"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t>revenues, development timelines, reimbursement rates for personnel costs, discount rates and probabilities of technical and regulatory success.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satisfied and unsatisfied performance obligations at the time of the adoption of ASC 606, each of which are considered by us to be distinct within the context of the contract, their SSP, the method of recognizing the allocated consideration, and the period through which they are expected to be recognized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ind w:left="1560"/>
              <w:spacing w:after="0"/>
              <w:rPr>
                <w:sz w:val="20"/>
                <w:szCs w:val="20"/>
                <w:color w:val="auto"/>
              </w:rPr>
            </w:pPr>
            <w:r>
              <w:rPr>
                <w:rFonts w:ascii="Arial" w:cs="Arial" w:eastAsia="Arial" w:hAnsi="Arial"/>
                <w:sz w:val="14"/>
                <w:szCs w:val="14"/>
                <w:b w:val="1"/>
                <w:bCs w:val="1"/>
                <w:color w:val="auto"/>
              </w:rPr>
              <w:t>Performance</w:t>
            </w:r>
          </w:p>
        </w:tc>
        <w:tc>
          <w:tcPr>
            <w:tcW w:w="920" w:type="dxa"/>
            <w:vAlign w:val="bottom"/>
          </w:tcPr>
          <w:p>
            <w:pPr>
              <w:spacing w:after="0"/>
              <w:rPr>
                <w:sz w:val="14"/>
                <w:szCs w:val="14"/>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SSP</w:t>
            </w:r>
          </w:p>
        </w:tc>
        <w:tc>
          <w:tcPr>
            <w:tcW w:w="7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No. of Performance</w:t>
            </w:r>
          </w:p>
        </w:tc>
        <w:tc>
          <w:tcPr>
            <w:tcW w:w="3980" w:type="dxa"/>
            <w:vAlign w:val="bottom"/>
          </w:tcPr>
          <w:p>
            <w:pPr>
              <w:ind w:left="1680"/>
              <w:spacing w:after="0"/>
              <w:rPr>
                <w:sz w:val="20"/>
                <w:szCs w:val="20"/>
                <w:color w:val="auto"/>
              </w:rPr>
            </w:pPr>
            <w:r>
              <w:rPr>
                <w:rFonts w:ascii="Arial" w:cs="Arial" w:eastAsia="Arial" w:hAnsi="Arial"/>
                <w:sz w:val="14"/>
                <w:szCs w:val="14"/>
                <w:b w:val="1"/>
                <w:bCs w:val="1"/>
                <w:color w:val="auto"/>
              </w:rPr>
              <w:t>Recognition</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Obligations</w:t>
            </w:r>
          </w:p>
        </w:tc>
        <w:tc>
          <w:tcPr>
            <w:tcW w:w="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398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satisfied at time of adoption</w:t>
            </w:r>
          </w:p>
        </w:tc>
        <w:tc>
          <w:tcPr>
            <w:tcW w:w="9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Licenses (1)</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c>
          <w:tcPr>
            <w:tcW w:w="700" w:type="dxa"/>
            <w:vAlign w:val="bottom"/>
          </w:tcPr>
          <w:p>
            <w:pPr>
              <w:ind w:left="20"/>
              <w:spacing w:after="0"/>
              <w:rPr>
                <w:sz w:val="20"/>
                <w:szCs w:val="20"/>
                <w:color w:val="auto"/>
              </w:rPr>
            </w:pPr>
            <w:r>
              <w:rPr>
                <w:rFonts w:ascii="Arial" w:cs="Arial" w:eastAsia="Arial" w:hAnsi="Arial"/>
                <w:sz w:val="18"/>
                <w:szCs w:val="18"/>
                <w:color w:val="auto"/>
              </w:rPr>
              <w:t>million</w:t>
            </w:r>
          </w:p>
        </w:tc>
        <w:tc>
          <w:tcPr>
            <w:tcW w:w="15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980" w:type="dxa"/>
            <w:vAlign w:val="bottom"/>
          </w:tcPr>
          <w:p>
            <w:pPr>
              <w:ind w:left="160"/>
              <w:spacing w:after="0"/>
              <w:rPr>
                <w:sz w:val="20"/>
                <w:szCs w:val="20"/>
                <w:color w:val="auto"/>
              </w:rPr>
            </w:pPr>
            <w:r>
              <w:rPr>
                <w:rFonts w:ascii="Arial" w:cs="Arial" w:eastAsia="Arial" w:hAnsi="Arial"/>
                <w:sz w:val="18"/>
                <w:szCs w:val="18"/>
                <w:color w:val="auto"/>
                <w:w w:val="97"/>
              </w:rPr>
              <w:t>Fully satisfied; recognized upon adoption of ASC</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services (2)</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Fully satisfied; recognized upon adoption of ASC</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Partially satisfied at time of adoption</w:t>
            </w: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services (2)</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Proportionally as services are delivered over the</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period, expected to be through</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September 2023 (3)</w:t>
            </w:r>
          </w:p>
        </w:tc>
        <w:tc>
          <w:tcPr>
            <w:tcW w:w="0" w:type="dxa"/>
            <w:vAlign w:val="bottom"/>
          </w:tcPr>
          <w:p>
            <w:pPr>
              <w:spacing w:after="0"/>
              <w:rPr>
                <w:sz w:val="1"/>
                <w:szCs w:val="1"/>
                <w:color w:val="auto"/>
              </w:rPr>
            </w:pPr>
          </w:p>
        </w:tc>
      </w:tr>
      <w:tr>
        <w:trPr>
          <w:trHeight w:val="27"/>
        </w:trPr>
        <w:tc>
          <w:tcPr>
            <w:tcW w:w="3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64" w:lineRule="auto"/>
        <w:tabs>
          <w:tab w:leader="none" w:pos="22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SSP was developed by probability weighting multiple cash flow scenarios using the income approach. Our management estimates within the models include the expected, probability-weighted net profits from estimated future sales, an estimate of the direct cost incurred to generate future cash flows, a discount rate and other business forecast factors. There are significant judgments and estimates inherent in the determination of the SSP of these performance obligations. These judgments and estimates include assumptions regarding future operating performance, the timelines of the clinical trials and regulatory approvals, and other factors. If different reasonable assumptions are utilized, the SSP and revenue recognized would vary.</w:t>
      </w:r>
    </w:p>
    <w:p>
      <w:pPr>
        <w:spacing w:after="0" w:line="2" w:lineRule="exact"/>
        <w:rPr>
          <w:rFonts w:ascii="Arial" w:cs="Arial" w:eastAsia="Arial" w:hAnsi="Arial"/>
          <w:sz w:val="13"/>
          <w:szCs w:val="13"/>
          <w:color w:val="auto"/>
        </w:rPr>
      </w:pPr>
    </w:p>
    <w:p>
      <w:pPr>
        <w:ind w:firstLine="8"/>
        <w:spacing w:after="0" w:line="241" w:lineRule="auto"/>
        <w:tabs>
          <w:tab w:leader="none" w:pos="21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SSP was developed using our management’s best estimate of the cost of obtaining these services at arm’s length from a third-party provider and using internal full time equivalent costs to support the development services.</w:t>
      </w:r>
    </w:p>
    <w:p>
      <w:pPr>
        <w:ind w:firstLine="8"/>
        <w:spacing w:after="0" w:line="255" w:lineRule="auto"/>
        <w:tabs>
          <w:tab w:leader="none" w:pos="211"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determined that recognizing revenue on a proportional basis using the ratio of effort incurred to date compared to the total estimated effort required to complete the performance obligation best depicts the satisfaction of our obligations under the Collaboration Agreements.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the remaining performance obligations under the Celgene agreements, their SSP, the method of recognizing the allocated consideration, and the period through which they are expected to be recognized are as follows: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jc w:val="center"/>
              <w:ind w:left="702"/>
              <w:spacing w:after="0"/>
              <w:rPr>
                <w:sz w:val="20"/>
                <w:szCs w:val="20"/>
                <w:color w:val="auto"/>
              </w:rPr>
            </w:pPr>
            <w:r>
              <w:rPr>
                <w:rFonts w:ascii="Arial" w:cs="Arial" w:eastAsia="Arial" w:hAnsi="Arial"/>
                <w:sz w:val="14"/>
                <w:szCs w:val="14"/>
                <w:b w:val="1"/>
                <w:bCs w:val="1"/>
                <w:color w:val="auto"/>
                <w:w w:val="93"/>
              </w:rPr>
              <w:t>Performance</w:t>
            </w:r>
          </w:p>
        </w:tc>
        <w:tc>
          <w:tcPr>
            <w:tcW w:w="2240" w:type="dxa"/>
            <w:vAlign w:val="bottom"/>
          </w:tcPr>
          <w:p>
            <w:pPr>
              <w:spacing w:after="0"/>
              <w:rPr>
                <w:sz w:val="14"/>
                <w:szCs w:val="14"/>
                <w:color w:val="auto"/>
              </w:rPr>
            </w:pPr>
          </w:p>
        </w:tc>
        <w:tc>
          <w:tcPr>
            <w:tcW w:w="1640" w:type="dxa"/>
            <w:vAlign w:val="bottom"/>
          </w:tcPr>
          <w:p>
            <w:pPr>
              <w:jc w:val="center"/>
              <w:ind w:left="104"/>
              <w:spacing w:after="0"/>
              <w:rPr>
                <w:sz w:val="20"/>
                <w:szCs w:val="20"/>
                <w:color w:val="auto"/>
              </w:rPr>
            </w:pPr>
            <w:r>
              <w:rPr>
                <w:rFonts w:ascii="Arial" w:cs="Arial" w:eastAsia="Arial" w:hAnsi="Arial"/>
                <w:sz w:val="14"/>
                <w:szCs w:val="14"/>
                <w:b w:val="1"/>
                <w:bCs w:val="1"/>
                <w:color w:val="auto"/>
                <w:w w:val="92"/>
              </w:rPr>
              <w:t>No. of Remaining</w:t>
            </w:r>
          </w:p>
        </w:tc>
        <w:tc>
          <w:tcPr>
            <w:tcW w:w="4160" w:type="dxa"/>
            <w:vAlign w:val="bottom"/>
            <w:vMerge w:val="restart"/>
          </w:tcPr>
          <w:p>
            <w:pPr>
              <w:jc w:val="center"/>
              <w:ind w:left="99"/>
              <w:spacing w:after="0"/>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49"/>
        </w:trPr>
        <w:tc>
          <w:tcPr>
            <w:tcW w:w="3380" w:type="dxa"/>
            <w:vAlign w:val="bottom"/>
            <w:vMerge w:val="continue"/>
          </w:tcPr>
          <w:p>
            <w:pPr>
              <w:spacing w:after="0"/>
              <w:rPr>
                <w:sz w:val="12"/>
                <w:szCs w:val="12"/>
                <w:color w:val="auto"/>
              </w:rPr>
            </w:pPr>
          </w:p>
        </w:tc>
        <w:tc>
          <w:tcPr>
            <w:tcW w:w="224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SSP</w:t>
            </w:r>
          </w:p>
        </w:tc>
        <w:tc>
          <w:tcPr>
            <w:tcW w:w="16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Performance</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jc w:val="center"/>
              <w:ind w:left="702"/>
              <w:spacing w:after="0"/>
              <w:rPr>
                <w:sz w:val="20"/>
                <w:szCs w:val="20"/>
                <w:color w:val="auto"/>
              </w:rPr>
            </w:pPr>
            <w:r>
              <w:rPr>
                <w:rFonts w:ascii="Arial" w:cs="Arial" w:eastAsia="Arial" w:hAnsi="Arial"/>
                <w:sz w:val="14"/>
                <w:szCs w:val="14"/>
                <w:b w:val="1"/>
                <w:bCs w:val="1"/>
                <w:color w:val="auto"/>
                <w:w w:val="93"/>
              </w:rPr>
              <w:t>Obligations</w:t>
            </w:r>
          </w:p>
        </w:tc>
        <w:tc>
          <w:tcPr>
            <w:tcW w:w="22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0"/>
              </w:rPr>
              <w:t>Obligations</w:t>
            </w:r>
          </w:p>
        </w:tc>
        <w:tc>
          <w:tcPr>
            <w:tcW w:w="416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services</w:t>
            </w:r>
          </w:p>
        </w:tc>
        <w:tc>
          <w:tcPr>
            <w:tcW w:w="2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$175.4 million</w:t>
            </w:r>
          </w:p>
        </w:tc>
        <w:tc>
          <w:tcPr>
            <w:tcW w:w="1640" w:type="dxa"/>
            <w:vAlign w:val="bottom"/>
            <w:shd w:val="clear" w:color="auto" w:fill="CCEEFF"/>
          </w:tcPr>
          <w:p>
            <w:pPr>
              <w:jc w:val="center"/>
              <w:ind w:left="104"/>
              <w:spacing w:after="0"/>
              <w:rPr>
                <w:sz w:val="20"/>
                <w:szCs w:val="20"/>
                <w:color w:val="auto"/>
              </w:rPr>
            </w:pPr>
            <w:r>
              <w:rPr>
                <w:rFonts w:ascii="Arial" w:cs="Arial" w:eastAsia="Arial" w:hAnsi="Arial"/>
                <w:sz w:val="18"/>
                <w:szCs w:val="18"/>
                <w:color w:val="auto"/>
                <w:w w:val="99"/>
              </w:rPr>
              <w:t>2</w:t>
            </w: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Proportionally as services are delivered over the</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performance period</w:t>
            </w:r>
          </w:p>
        </w:tc>
        <w:tc>
          <w:tcPr>
            <w:tcW w:w="0" w:type="dxa"/>
            <w:vAlign w:val="bottom"/>
          </w:tcPr>
          <w:p>
            <w:pPr>
              <w:spacing w:after="0"/>
              <w:rPr>
                <w:sz w:val="1"/>
                <w:szCs w:val="1"/>
                <w:color w:val="auto"/>
              </w:rPr>
            </w:pPr>
          </w:p>
        </w:tc>
      </w:tr>
      <w:tr>
        <w:trPr>
          <w:trHeight w:val="27"/>
        </w:trPr>
        <w:tc>
          <w:tcPr>
            <w:tcW w:w="338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significant portion of revenue generated from our collaboration agreements with Celgene relates to the provision of research and development services whereby revenue is recognized under an input method using the ratio of effort incurred to date compared to the total estimated effort required to complete the performance obligation. The calculation of the total estimated effort includes the total amount of forecasted costs associated with the completion of discovery, pre-clinical or clinical trials, as well as the assumed timing of these activities and estimated patient populations. Such cost estimates include forecasted direct labor and material costs, subcontractor costs, and external contract research organization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aggregate amount of the transaction price allocated to performance obligations that are partially unsatisfied was $70.0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amount is expected to be recognized as performance obligations are satisfied through September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we recognized the following collaboration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9"/>
                <w:szCs w:val="9"/>
                <w:b w:val="1"/>
                <w:bCs w:val="1"/>
                <w:color w:val="auto"/>
              </w:rPr>
              <w:t>(1)</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Services performed that were considered performance obligations upon the adoption of ASC 606</w:t>
            </w: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Licenses</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   15,000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On-going research and development services</w:t>
            </w: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35,954</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40,575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37,953</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Committee participation</w:t>
            </w:r>
          </w:p>
        </w:tc>
        <w:tc>
          <w:tcPr>
            <w:tcW w:w="7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167</w:t>
            </w:r>
          </w:p>
        </w:tc>
      </w:tr>
      <w:tr>
        <w:trPr>
          <w:trHeight w:val="27"/>
        </w:trPr>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w w:val="96"/>
              </w:rPr>
              <w:t>Services performed that were not considered performance obligations as of the adoption of ASC 606</w:t>
            </w: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Development activities</w:t>
            </w:r>
          </w:p>
        </w:tc>
        <w:tc>
          <w:tcPr>
            <w:tcW w:w="7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1,342</w:t>
            </w:r>
          </w:p>
        </w:tc>
        <w:tc>
          <w:tcPr>
            <w:tcW w:w="3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Commercialization Activities</w:t>
            </w: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3,303</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3,744</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2,954</w:t>
            </w:r>
          </w:p>
        </w:tc>
      </w:tr>
      <w:tr>
        <w:trPr>
          <w:trHeight w:val="237"/>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collaboration revenue - related party</w:t>
            </w:r>
          </w:p>
        </w:tc>
        <w:tc>
          <w:tcPr>
            <w:tcW w:w="7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39,257</w:t>
            </w: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60,661</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41,074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0"/>
          <w:szCs w:val="20"/>
          <w:color w:val="auto"/>
        </w:rPr>
      </w:pPr>
    </w:p>
    <w:p>
      <w:pPr>
        <w:ind w:left="20" w:right="20" w:firstLine="6"/>
        <w:spacing w:after="0" w:line="236" w:lineRule="auto"/>
        <w:tabs>
          <w:tab w:leader="none" w:pos="2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Amounts prior to 2018 do not reflect the impact of the adoption of Accounting Standards Update (ASU) 2014-09, Revenue from Contracts with Customers (Topic 606), in the first quarter of 2018. See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additional information.</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recognized certain consideration received from Celgene as a reduction of research and development expenses of zero for 2019 and 2018, respectively and $7.8 million for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our contract assets and liabilities during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14"/>
                <w:szCs w:val="14"/>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360"/>
              <w:spacing w:after="0"/>
              <w:rPr>
                <w:sz w:val="20"/>
                <w:szCs w:val="20"/>
                <w:color w:val="auto"/>
              </w:rPr>
            </w:pPr>
            <w:r>
              <w:rPr>
                <w:rFonts w:ascii="Arial" w:cs="Arial" w:eastAsia="Arial" w:hAnsi="Arial"/>
                <w:sz w:val="18"/>
                <w:szCs w:val="18"/>
                <w:color w:val="auto"/>
              </w:rPr>
              <w:t xml:space="preserve">Collaboration receivable – related party </w:t>
            </w:r>
            <w:r>
              <w:rPr>
                <w:rFonts w:ascii="Arial" w:cs="Arial" w:eastAsia="Arial" w:hAnsi="Arial"/>
                <w:sz w:val="23"/>
                <w:szCs w:val="23"/>
                <w:color w:val="auto"/>
                <w:vertAlign w:val="super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2,462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8,253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(9,176)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Royalty receivable – related party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2,234</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10,542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(9,876)</w:t>
            </w: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0"/>
              </w:rPr>
              <w:t xml:space="preserve">Deferred revenue – related party, current and non-current portions </w:t>
            </w:r>
            <w:r>
              <w:rPr>
                <w:rFonts w:ascii="Arial" w:cs="Arial" w:eastAsia="Arial" w:hAnsi="Arial"/>
                <w:sz w:val="23"/>
                <w:szCs w:val="23"/>
                <w:color w:val="auto"/>
                <w:w w:val="90"/>
                <w:vertAlign w:val="superscript"/>
              </w:rPr>
              <w:t>(3)</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92,519</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4,948</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(35,954)</w:t>
            </w:r>
          </w:p>
        </w:tc>
        <w:tc>
          <w:tcPr>
            <w:tcW w:w="3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61,513</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280" w:firstLine="6"/>
        <w:spacing w:after="0" w:line="230" w:lineRule="auto"/>
        <w:tabs>
          <w:tab w:leader="none" w:pos="2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Additions to collaboration receivables - related party relate to amounts billed to Celgene for reimbursable costs incurred by us during the reporting period. Deductions to receivables relate to collection of receivables during the reporting period.</w:t>
      </w:r>
    </w:p>
    <w:p>
      <w:pPr>
        <w:ind w:left="220" w:hanging="194"/>
        <w:spacing w:after="0" w:line="221" w:lineRule="auto"/>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Additions to receivables relate to amounts billed to Celgene during the reporting period. Deductions to receivables relate to collection of receivables during the reporting period.</w:t>
      </w:r>
    </w:p>
    <w:p>
      <w:pPr>
        <w:ind w:left="220" w:hanging="194"/>
        <w:spacing w:after="0"/>
        <w:tabs>
          <w:tab w:leader="none" w:pos="2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Additions to deferred revenue relate to consideration from Celgene during the reporting period. Deductions relate to deferred revenue recognized as revenue during the reporting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our contract assets and liabilities during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11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60"/>
              <w:spacing w:after="0"/>
              <w:rPr>
                <w:sz w:val="20"/>
                <w:szCs w:val="20"/>
                <w:color w:val="auto"/>
              </w:rPr>
            </w:pPr>
            <w:r>
              <w:rPr>
                <w:rFonts w:ascii="Arial" w:cs="Arial" w:eastAsia="Arial" w:hAnsi="Arial"/>
                <w:sz w:val="18"/>
                <w:szCs w:val="18"/>
                <w:color w:val="auto"/>
              </w:rPr>
              <w:t xml:space="preserve">Collaboration receivable – related party </w:t>
            </w:r>
            <w:r>
              <w:rPr>
                <w:rFonts w:ascii="Arial" w:cs="Arial" w:eastAsia="Arial" w:hAnsi="Arial"/>
                <w:sz w:val="23"/>
                <w:szCs w:val="23"/>
                <w:color w:val="auto"/>
                <w:vertAlign w:val="superscript"/>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2,448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28,695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(28,681)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Royalty receivable – related party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1,222</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7,087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(6,075)</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w w:val="91"/>
              </w:rPr>
              <w:t>Deferred revenue – related party, current and non-current portions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163,640</w:t>
            </w:r>
          </w:p>
        </w:tc>
        <w:tc>
          <w:tcPr>
            <w:tcW w:w="3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9,237</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(80,358)</w:t>
            </w:r>
          </w:p>
        </w:tc>
        <w:tc>
          <w:tcPr>
            <w:tcW w:w="3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162"/>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(3)</w:t>
            </w:r>
          </w:p>
        </w:tc>
        <w:tc>
          <w:tcPr>
            <w:tcW w:w="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8"/>
        <w:spacing w:after="0" w:line="250" w:lineRule="auto"/>
        <w:tabs>
          <w:tab w:leader="none" w:pos="214" w:val="left"/>
        </w:tabs>
        <w:numPr>
          <w:ilvl w:val="0"/>
          <w:numId w:val="70"/>
        </w:numPr>
        <w:rPr>
          <w:rFonts w:ascii="Arial" w:cs="Arial" w:eastAsia="Arial" w:hAnsi="Arial"/>
          <w:sz w:val="14"/>
          <w:szCs w:val="14"/>
          <w:color w:val="auto"/>
        </w:rPr>
      </w:pPr>
      <w:r>
        <w:rPr>
          <w:rFonts w:ascii="Arial" w:cs="Arial" w:eastAsia="Arial" w:hAnsi="Arial"/>
          <w:sz w:val="14"/>
          <w:szCs w:val="14"/>
          <w:color w:val="auto"/>
        </w:rPr>
        <w:t>Additions to collaboration receivables - related party relate to amounts billed to Celgene for reimbursable costs incurred by us during the reporting period. Deductions to receivables relate to collection of receivables during the reporting period.</w:t>
      </w: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Additions to receivables relate to amounts billed to Celgene during the reporting period. Deductions to receivables relate to collection of receivables during the reporting period.</w:t>
      </w:r>
    </w:p>
    <w:p>
      <w:pPr>
        <w:spacing w:after="0" w:line="1" w:lineRule="exact"/>
        <w:rPr>
          <w:rFonts w:ascii="Arial" w:cs="Arial" w:eastAsia="Arial" w:hAnsi="Arial"/>
          <w:sz w:val="14"/>
          <w:szCs w:val="14"/>
          <w:color w:val="auto"/>
        </w:rPr>
      </w:pPr>
    </w:p>
    <w:p>
      <w:pPr>
        <w:ind w:right="20" w:firstLine="8"/>
        <w:spacing w:after="0" w:line="255" w:lineRule="auto"/>
        <w:tabs>
          <w:tab w:leader="none" w:pos="209" w:val="left"/>
        </w:tabs>
        <w:numPr>
          <w:ilvl w:val="0"/>
          <w:numId w:val="70"/>
        </w:numPr>
        <w:rPr>
          <w:rFonts w:ascii="Arial" w:cs="Arial" w:eastAsia="Arial" w:hAnsi="Arial"/>
          <w:sz w:val="14"/>
          <w:szCs w:val="14"/>
          <w:color w:val="auto"/>
        </w:rPr>
      </w:pPr>
      <w:r>
        <w:rPr>
          <w:rFonts w:ascii="Arial" w:cs="Arial" w:eastAsia="Arial" w:hAnsi="Arial"/>
          <w:sz w:val="14"/>
          <w:szCs w:val="14"/>
          <w:color w:val="auto"/>
        </w:rPr>
        <w:t>Additions to deferred revenue relate to consideration from Celgene during the reporting period. Deductions relate to deferred revenue recognized as revenue during the reporting period and the cumulative catch-up adjustment recognized upon adoption of ASC 606 on January 1, 2018.</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During the years ended December 31, 2019, 2018 and 2017, we recognized the following as revenue due to changes in the contract liability balances: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9"/>
                <w:szCs w:val="9"/>
                <w:b w:val="1"/>
                <w:bCs w:val="1"/>
                <w:color w:val="auto"/>
              </w:rPr>
              <w:t>(1)</w:t>
            </w: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1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c>
          <w:tcPr>
            <w:tcW w:w="400" w:type="dxa"/>
            <w:vAlign w:val="bottom"/>
          </w:tcPr>
          <w:p>
            <w:pPr>
              <w:spacing w:after="0"/>
              <w:rPr>
                <w:sz w:val="21"/>
                <w:szCs w:val="21"/>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ind w:left="20" w:right="20" w:firstLine="6"/>
        <w:spacing w:after="0" w:line="253" w:lineRule="auto"/>
        <w:tabs>
          <w:tab w:leader="none" w:pos="232"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prior to 2018 do not reflect the impact of the adoption of Accounting Standards Update (ASU) 2014-09, Revenue from Contracts with Customers (Topic 606), in the first quarter of 2018. See Note 2. Summary of Significant Accounting Policies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2018 and 2017, we recognized the following as royalty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revenue – related party</w:t>
            </w:r>
          </w:p>
        </w:tc>
        <w:tc>
          <w:tcPr>
            <w:tcW w:w="2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10,542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7,215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1,937</w:t>
            </w:r>
          </w:p>
        </w:tc>
      </w:tr>
      <w:tr>
        <w:trPr>
          <w:trHeight w:val="27"/>
        </w:trPr>
        <w:tc>
          <w:tcPr>
            <w:tcW w:w="4460" w:type="dxa"/>
            <w:vAlign w:val="bottom"/>
            <w:shd w:val="clear" w:color="auto" w:fill="000000"/>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underlying performance obligation, or delivery of the enasidenib license, had been satisfied as of June 2014, royalty revenue is recognized as the related sales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 (variable consideration)</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At each reporting period we evaluate whether milestones are considered probable of being reached and, to the extent that a significant reversal would not occur in future periods, estimate the amount to be included in the transaction price using the most likely amount method. Milestone payments that are not within our control, such as regulatory approvals, are not considered probable of being achieved and are excluded from the transaction price until those approvals are received.</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2019, we did not receive any milestone payments related to our Celgene Agreements, and all variable consideration relating to the remaining development, regulatory and sales-based milestones that can be earned under the terms of the agreement remain fully constrained.</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Celgene submitted an MAA to the EMA for IDHIFA® for IDH2 mutant-positive R/R AML. As a result of the filing, we determined that a $15.0 million milestone payment for the filing of a first new drug application equivalent in an ex-U.S. country was considered probable of being reached and that a significant reversal of revenue would not occur in future periods. As the underlying performance obligation, or delivery of the license to IDHIFA®, had been satisfied as of June 2014, the milestone payment was recognized in full as collaboration revenue.</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next potential milestone expected to be achieved under our collaboration agreements with Celgene is the first regulatory approval in any of China, Japan or a major European country. Achievement of this event will result in a milestone payment of $35.0 million under the 2010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CStone Pharmaceuticals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we entered into an exclusive license agreement with CStone, or the CStone Agreement, to grant CStone specified intellectual property licenses to enable CStone to develop and commercialize certain products containing ivosidenib in mainland China, Hong Kong, Macau, and Taiwan. We retain development and commercialization rights for the rest of the world. Pursuant to the CStone Agreement, CStone will initially be responsible for the development and commercialization of ivosidenib in AML, cholangiocarcinoma, and, at our discretion, brain cancer indications.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CStone Agreement, we received an initial upfront payment in the amount of $12.0 million and are entitled to receive up to an additional $407.0 million in milestone payments upon the achievement of certain development, regulatory and sales milestone events. Approximately one third of the milestone payments are related to development and regulatory milestones, half of which are related to ivosidenib in AML and cholangiocarcinoma and the other half are related to brain cancer indications, including glioma. We will also be entitled to receive tiered royalties, ranging from 15% to 19% percent, on annual net sales, if any, of ivosidenib.</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CStone is responsible for all costs it incurs in developing, obtaining regulatory approval of, and commercializing ivosidenib in mainland China, Hong Kong, Macau, and Taiwan, as well as certain costs incurred by us.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term of the CStone Agreement, each party and its affiliates are prohibited from developing or commercializing any other compound or product that inhibits IDH1 mutations at specified levels of binding, in the case of CStone, anywhere in the world, and in our case, in mainland China, Hong Kong, Macau, and Taiwan.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earlier terminated, the CStone Agreement will expire upon the expiration of the last royalty term for the last licensed product within the scope of the CStone Agreement. At any time after CStone has obtained regulatory approval in mainland China in R/R AML and the last patient has been enrolled in a specified clinical trial (or, if earlier, at any time that CStone acquires or is acquired by an entity with a competing or restricted product), CStone may terminate the CStone Agreement in its entirety by providing us with prior written notice. Either party may, subject to specified cure periods, terminate the CStone Agreement in the event of the other party’s uncured material breach. Either party may terminate the CStone Agreement under specified circumstances relating to the other party’s insolvency. We have the right to terminate the CStone Agreement immediately if CStone or its affiliates or sublicensees or subcontractors challenges the validity, patentability, or enforceability of certain patent rights that relate to ivosidenib and are owned by or licensed to us or our affiliates.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identified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developed assumptions that require judgment to determine the SSP for each performance obligation identified in the contract. We use key assumptions to determine the SSP, which include forecast of revenues, development timelines, reimbursement rates, discount rates and probabilities of technical and regulatory success.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satisfied and unsatisfied performance obligations, each of which are considered by us to be distinct within the context of the contract, their SSP, the method of recognizing the allocated consideration, and the period through which they are expected to be recognized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jc w:val="center"/>
              <w:ind w:left="439"/>
              <w:spacing w:after="0"/>
              <w:rPr>
                <w:sz w:val="20"/>
                <w:szCs w:val="20"/>
                <w:color w:val="auto"/>
              </w:rPr>
            </w:pPr>
            <w:r>
              <w:rPr>
                <w:rFonts w:ascii="Arial" w:cs="Arial" w:eastAsia="Arial" w:hAnsi="Arial"/>
                <w:sz w:val="14"/>
                <w:szCs w:val="14"/>
                <w:b w:val="1"/>
                <w:bCs w:val="1"/>
                <w:color w:val="auto"/>
                <w:w w:val="93"/>
              </w:rPr>
              <w:t>Performance</w:t>
            </w:r>
          </w:p>
        </w:tc>
        <w:tc>
          <w:tcPr>
            <w:tcW w:w="1100" w:type="dxa"/>
            <w:vAlign w:val="bottom"/>
          </w:tcPr>
          <w:p>
            <w:pPr>
              <w:spacing w:after="0"/>
              <w:rPr>
                <w:sz w:val="14"/>
                <w:szCs w:val="14"/>
                <w:color w:val="auto"/>
              </w:rPr>
            </w:pPr>
          </w:p>
        </w:tc>
        <w:tc>
          <w:tcPr>
            <w:tcW w:w="9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SSP</w:t>
            </w:r>
          </w:p>
        </w:tc>
        <w:tc>
          <w:tcPr>
            <w:tcW w:w="7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No. of Performance</w:t>
            </w:r>
          </w:p>
        </w:tc>
        <w:tc>
          <w:tcPr>
            <w:tcW w:w="4620" w:type="dxa"/>
            <w:vAlign w:val="bottom"/>
          </w:tcPr>
          <w:p>
            <w:pPr>
              <w:jc w:val="center"/>
              <w:ind w:left="37"/>
              <w:spacing w:after="0"/>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jc w:val="center"/>
              <w:ind w:left="439"/>
              <w:spacing w:after="0"/>
              <w:rPr>
                <w:sz w:val="20"/>
                <w:szCs w:val="20"/>
                <w:color w:val="auto"/>
              </w:rPr>
            </w:pPr>
            <w:r>
              <w:rPr>
                <w:rFonts w:ascii="Arial" w:cs="Arial" w:eastAsia="Arial" w:hAnsi="Arial"/>
                <w:sz w:val="14"/>
                <w:szCs w:val="14"/>
                <w:b w:val="1"/>
                <w:bCs w:val="1"/>
                <w:color w:val="auto"/>
                <w:w w:val="93"/>
              </w:rPr>
              <w:t>Obligations</w:t>
            </w: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Obligation(s)</w:t>
            </w:r>
          </w:p>
        </w:tc>
        <w:tc>
          <w:tcPr>
            <w:tcW w:w="462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96"/>
              </w:rPr>
              <w:t>Method</w:t>
            </w: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Licenses (1)</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Fully satisfied; recognized upon delivery of license</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Arial" w:cs="Arial" w:eastAsia="Arial" w:hAnsi="Arial"/>
                <w:sz w:val="18"/>
                <w:szCs w:val="18"/>
                <w:color w:val="auto"/>
              </w:rPr>
              <w:t>Other services (2)</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ind w:left="20"/>
              <w:spacing w:after="0"/>
              <w:rPr>
                <w:sz w:val="20"/>
                <w:szCs w:val="20"/>
                <w:color w:val="auto"/>
              </w:rPr>
            </w:pPr>
            <w:r>
              <w:rPr>
                <w:rFonts w:ascii="Arial" w:cs="Arial" w:eastAsia="Arial" w:hAnsi="Arial"/>
                <w:sz w:val="18"/>
                <w:szCs w:val="18"/>
                <w:color w:val="auto"/>
              </w:rPr>
              <w:t>million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620" w:type="dxa"/>
            <w:vAlign w:val="bottom"/>
          </w:tcPr>
          <w:p>
            <w:pPr>
              <w:ind w:left="140"/>
              <w:spacing w:after="0"/>
              <w:rPr>
                <w:sz w:val="20"/>
                <w:szCs w:val="20"/>
                <w:color w:val="auto"/>
              </w:rPr>
            </w:pPr>
            <w:r>
              <w:rPr>
                <w:rFonts w:ascii="Arial" w:cs="Arial" w:eastAsia="Arial" w:hAnsi="Arial"/>
                <w:sz w:val="18"/>
                <w:szCs w:val="18"/>
                <w:color w:val="auto"/>
                <w:w w:val="91"/>
              </w:rPr>
              <w:t>As services are delivered, expected to be through September</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34"/>
        </w:trPr>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8"/>
        <w:spacing w:after="0" w:line="264" w:lineRule="auto"/>
        <w:tabs>
          <w:tab w:leader="none" w:pos="221"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SSP was developed by probability weighting multiple cash flow scenarios using the income approach. Our management estimates within the models include the expected, probability-weighted net profits from estimated future sales, an estimate of the direct costs incurred to generate future cash flows, a discount rate and other business forecast factors. There are significant judgments and estimates inherent in the determination of the SSP of this performance obligation. These judgments and estimates include assumptions regarding future operating performance, the timelines of the clinical trials and regulatory approvals, and other factors. If different reasonable assumptions are utilized, the SSP and revenue recognized would vary.</w:t>
      </w:r>
    </w:p>
    <w:p>
      <w:pPr>
        <w:spacing w:after="0" w:line="2" w:lineRule="exact"/>
        <w:rPr>
          <w:rFonts w:ascii="Arial" w:cs="Arial" w:eastAsia="Arial" w:hAnsi="Arial"/>
          <w:sz w:val="13"/>
          <w:szCs w:val="13"/>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SSP was developed using our management’s best estimate of the cost of obtaining these services at arm’s length from a third-party provider.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aggregate amount of the transaction price allocated to performance obligations that are partially unsatisfied was $0.4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amount is expected to be recognized as performance obligations are satisfied through September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we recognized the following collaboration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Services performed that were considered performance obligations upon contract inception</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Licenses</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12,440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services</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Services performed that were not considered performance obligations upon contract inception</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services</w:t>
            </w:r>
          </w:p>
        </w:tc>
        <w:tc>
          <w:tcPr>
            <w:tcW w:w="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3,027</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collaboration revenue - other</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8,262</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12,670</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34"/>
        </w:trPr>
        <w:tc>
          <w:tcPr>
            <w:tcW w:w="7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The following table presents changes in our contract assets during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4"/>
                <w:szCs w:val="14"/>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Collaboration receivable – other </w:t>
            </w:r>
            <w:r>
              <w:rPr>
                <w:rFonts w:ascii="Arial" w:cs="Arial" w:eastAsia="Arial" w:hAnsi="Arial"/>
                <w:sz w:val="23"/>
                <w:szCs w:val="23"/>
                <w:color w:val="auto"/>
                <w:vertAlign w:val="superscript"/>
              </w:rPr>
              <w:t>(1)</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670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8,262</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(7,004)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Additions to contract assets relate to receivables from CStone and deductions to contract assets relate to collection of receivables during the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our contract assets during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40" w:type="dxa"/>
            <w:vAlign w:val="bottom"/>
          </w:tcPr>
          <w:p>
            <w:pPr>
              <w:jc w:val="center"/>
              <w:ind w:left="1322"/>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4"/>
                <w:szCs w:val="14"/>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3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xml:space="preserve">Collaboration receivable – other </w:t>
            </w:r>
            <w:r>
              <w:rPr>
                <w:rFonts w:ascii="Arial" w:cs="Arial" w:eastAsia="Arial" w:hAnsi="Arial"/>
                <w:sz w:val="23"/>
                <w:szCs w:val="23"/>
                <w:color w:val="auto"/>
                <w:vertAlign w:val="superscript"/>
              </w:rPr>
              <w:t>(1)</w:t>
            </w:r>
          </w:p>
        </w:tc>
        <w:tc>
          <w:tcPr>
            <w:tcW w:w="2240" w:type="dxa"/>
            <w:vAlign w:val="bottom"/>
            <w:tcBorders>
              <w:bottom w:val="single" w:sz="8" w:color="auto"/>
            </w:tcBorders>
          </w:tcPr>
          <w:p>
            <w:pPr>
              <w:jc w:val="right"/>
              <w:ind w:right="100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12,670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Additions to contract assets relate to receivables from CStone and deductions to contract assets relate to collection of receivables during the reporting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license was determined to be the predominant item to which sales-based royalties and sales-based milestones relate. As the license was delivered in June 2018, we will recognize royalty revenue when the related sales occur. To date, no royalties have been received under the CStone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 (variable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upon the dosing of the first patient in a local study in a hematological indication in mainland China, we earned and received a milestone payment of $5.0 million, which was recognized as collaboration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Aurigene Discovery Technologies Limited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2017, we entered into a global license agreement with Aurigene Discovery Technologies Limited, or Aurigene, to research, develop and commercialize small molecule inhibitors for DHODH, or the Aurigene Agreement.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Aurigene Agreement, Aurigene will provide us exclusive rights to its portfolio of novel small molecules for DHODH. Financial terms of the Aurigene Agreement include a $3.0 million upfront payment and potential future milestone payments of up to $15.0 million if we achieve certain development and regulatory milestones.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Aurigene is also eligible to receive low single-digit royalties on net product sales, if any. We will conduct preclinical studies and, if successful, fund further global research and development, as well as regulatory and commercial activities.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term of the Aurigene Agreement will continue until the earlier of: (a) termination for convenience at our sole discretion upon 90 days prior written notice,</w:t>
      </w:r>
    </w:p>
    <w:p>
      <w:pPr>
        <w:spacing w:after="0" w:line="46" w:lineRule="exact"/>
        <w:rPr>
          <w:sz w:val="20"/>
          <w:szCs w:val="20"/>
          <w:color w:val="auto"/>
        </w:rPr>
      </w:pPr>
    </w:p>
    <w:p>
      <w:pPr>
        <w:ind w:firstLine="8"/>
        <w:spacing w:after="0" w:line="261" w:lineRule="auto"/>
        <w:tabs>
          <w:tab w:leader="none" w:pos="2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termination by either party for material breach, or (c) the expiration of the last-to-expire of all payment obligations hereunder with respect to all licensed products under the Aurigene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payment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$3.0 million upfront payment was incurred in the year ended December 31, 2017 and recorded as research and development expense. Costs incurred and milestone payments due to Aurigene prior to regulatory approval are recognized as expenses in the period incurred. Payments due to Aurigene upon or subsequent to regulatory approval will be capitalized and amortized over the shorter of the remaining license or product patent life.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achieved the milestone relating to the initiation of the first phase 1 clinical trial for DHODH, and we made a payment of $2.0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Common Stock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authorized to issue 125,000,000 shares of our common stock. Holders of common stock are entitled to one vote per share. Additionally, holders of common stock are entitled to receive dividends, if and when declared by our board of directors, and to share ratably in our assets legally available for distribution to our shareholders in the event of liquidation.</w:t>
      </w:r>
    </w:p>
    <w:p>
      <w:pPr>
        <w:sectPr>
          <w:pgSz w:w="11900" w:h="16838" w:orient="portrait"/>
          <w:cols w:equalWidth="0" w:num="1">
            <w:col w:w="11420"/>
          </w:cols>
          <w:pgMar w:left="240" w:top="1341"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13. Share-Based 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2013, our Board of Directors adopted and, in July 2013 our stockholders approved, the 2013 Stock Incentive Plan, or the 2013 Plan. The 2013 Plan became effective upon the closing of our initial public offering and provides for the grant of incentive stock options, non-qualified stock options, stock appreciation rights, restricted stock awards, restricted stock units, or RSUs, performance-based stock units, or PSUs, and other stock-based awards to employees, non-employees and non-employee directors. Following the adoption of the 2013 Plan, we granted no further stock options or other awards under the 2007 Stock Incentive Plan, or the 2007 Plan. Any options or awards outstanding under the 2007 Plan at the time of adoption of the 2013 Plan remain outstanding and effective. As of December 31, 2019, the total number of shares reserved under the 2007 Plan and the 2013 Plan are 9,356,754, and we had 2,127,478 shares available for future issuance under the 2013 Plan.</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2013 Plan provides for an annual increase, to be added on the first day of each fiscal year, beginning with the fiscal year ending December 31, 2014 and continuing until the expiration of the 2013 Plan, equal to the lesser of (i) 2,000,000 shares of common stock, (ii) 4% of the outstanding shares of common stock on such date or (iii) an amount determined by our Board of Directors. On January 1, 2020, the annual increase for the 2013 Plan resulted in an additional 2,000,000 shares authorized for issuance.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of all stock incentive plans for the year ended December 31,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1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220" w:type="dxa"/>
            <w:vAlign w:val="bottom"/>
            <w:vMerge w:val="restart"/>
          </w:tcPr>
          <w:p>
            <w:pPr>
              <w:jc w:val="center"/>
              <w:ind w:left="835"/>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center"/>
              <w:ind w:right="257"/>
              <w:spacing w:after="0" w:line="135"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1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220" w:type="dxa"/>
            <w:vAlign w:val="bottom"/>
          </w:tcPr>
          <w:p>
            <w:pPr>
              <w:jc w:val="center"/>
              <w:ind w:left="835"/>
              <w:spacing w:after="0" w:line="135" w:lineRule="exact"/>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1"/>
                <w:szCs w:val="11"/>
                <w:color w:val="auto"/>
              </w:rPr>
            </w:pPr>
          </w:p>
        </w:tc>
        <w:tc>
          <w:tcPr>
            <w:tcW w:w="1200" w:type="dxa"/>
            <w:vAlign w:val="bottom"/>
          </w:tcPr>
          <w:p>
            <w:pPr>
              <w:jc w:val="center"/>
              <w:ind w:right="277"/>
              <w:spacing w:after="0" w:line="135"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1"/>
                <w:szCs w:val="11"/>
                <w:color w:val="auto"/>
              </w:rPr>
            </w:pPr>
          </w:p>
        </w:tc>
        <w:tc>
          <w:tcPr>
            <w:tcW w:w="11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88"/>
        </w:trPr>
        <w:tc>
          <w:tcPr>
            <w:tcW w:w="48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left="815"/>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5,416,069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60.10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27,941</w:t>
            </w:r>
          </w:p>
        </w:tc>
        <w:tc>
          <w:tcPr>
            <w:tcW w:w="0" w:type="dxa"/>
            <w:vAlign w:val="bottom"/>
          </w:tcPr>
          <w:p>
            <w:pPr>
              <w:spacing w:after="0"/>
              <w:rPr>
                <w:sz w:val="1"/>
                <w:szCs w:val="1"/>
                <w:color w:val="auto"/>
              </w:rPr>
            </w:pPr>
          </w:p>
        </w:tc>
      </w:tr>
      <w:tr>
        <w:trPr>
          <w:trHeight w:val="243"/>
        </w:trPr>
        <w:tc>
          <w:tcPr>
            <w:tcW w:w="48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75"/>
              <w:spacing w:after="0"/>
              <w:rPr>
                <w:sz w:val="20"/>
                <w:szCs w:val="20"/>
                <w:color w:val="auto"/>
              </w:rPr>
            </w:pPr>
            <w:r>
              <w:rPr>
                <w:rFonts w:ascii="Arial" w:cs="Arial" w:eastAsia="Arial" w:hAnsi="Arial"/>
                <w:sz w:val="18"/>
                <w:szCs w:val="18"/>
                <w:color w:val="auto"/>
              </w:rPr>
              <w:t>1,772,485</w:t>
            </w:r>
          </w:p>
        </w:tc>
        <w:tc>
          <w:tcPr>
            <w:tcW w:w="340" w:type="dxa"/>
            <w:vAlign w:val="bottom"/>
          </w:tcPr>
          <w:p>
            <w:pPr>
              <w:spacing w:after="0"/>
              <w:rPr>
                <w:sz w:val="21"/>
                <w:szCs w:val="21"/>
                <w:color w:val="auto"/>
              </w:rPr>
            </w:pPr>
          </w:p>
        </w:tc>
        <w:tc>
          <w:tcPr>
            <w:tcW w:w="1200" w:type="dxa"/>
            <w:vAlign w:val="bottom"/>
          </w:tcPr>
          <w:p>
            <w:pPr>
              <w:jc w:val="right"/>
              <w:ind w:right="177"/>
              <w:spacing w:after="0"/>
              <w:rPr>
                <w:sz w:val="20"/>
                <w:szCs w:val="20"/>
                <w:color w:val="auto"/>
              </w:rPr>
            </w:pPr>
            <w:r>
              <w:rPr>
                <w:rFonts w:ascii="Arial" w:cs="Arial" w:eastAsia="Arial" w:hAnsi="Arial"/>
                <w:sz w:val="18"/>
                <w:szCs w:val="18"/>
                <w:color w:val="auto"/>
              </w:rPr>
              <w:t>53.79</w:t>
            </w: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(283,200)</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32.69</w:t>
            </w:r>
          </w:p>
        </w:tc>
        <w:tc>
          <w:tcPr>
            <w:tcW w:w="1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40"/>
              <w:spacing w:after="0"/>
              <w:rPr>
                <w:sz w:val="20"/>
                <w:szCs w:val="20"/>
                <w:color w:val="auto"/>
              </w:rPr>
            </w:pPr>
            <w:r>
              <w:rPr>
                <w:rFonts w:ascii="Arial" w:cs="Arial" w:eastAsia="Arial" w:hAnsi="Arial"/>
                <w:sz w:val="18"/>
                <w:szCs w:val="18"/>
                <w:color w:val="auto"/>
              </w:rPr>
              <w:t>Forfeited/Expired</w:t>
            </w:r>
          </w:p>
        </w:tc>
        <w:tc>
          <w:tcPr>
            <w:tcW w:w="2220" w:type="dxa"/>
            <w:vAlign w:val="bottom"/>
          </w:tcPr>
          <w:p>
            <w:pPr>
              <w:jc w:val="right"/>
              <w:ind w:right="15"/>
              <w:spacing w:after="0"/>
              <w:rPr>
                <w:sz w:val="20"/>
                <w:szCs w:val="20"/>
                <w:color w:val="auto"/>
              </w:rPr>
            </w:pPr>
            <w:r>
              <w:rPr>
                <w:rFonts w:ascii="Arial" w:cs="Arial" w:eastAsia="Arial" w:hAnsi="Arial"/>
                <w:sz w:val="18"/>
                <w:szCs w:val="18"/>
                <w:color w:val="auto"/>
              </w:rPr>
              <w:t>(703,869)</w:t>
            </w:r>
          </w:p>
        </w:tc>
        <w:tc>
          <w:tcPr>
            <w:tcW w:w="340" w:type="dxa"/>
            <w:vAlign w:val="bottom"/>
          </w:tcPr>
          <w:p>
            <w:pPr>
              <w:spacing w:after="0"/>
              <w:rPr>
                <w:sz w:val="21"/>
                <w:szCs w:val="21"/>
                <w:color w:val="auto"/>
              </w:rPr>
            </w:pPr>
          </w:p>
        </w:tc>
        <w:tc>
          <w:tcPr>
            <w:tcW w:w="1200" w:type="dxa"/>
            <w:vAlign w:val="bottom"/>
          </w:tcPr>
          <w:p>
            <w:pPr>
              <w:jc w:val="right"/>
              <w:ind w:right="177"/>
              <w:spacing w:after="0"/>
              <w:rPr>
                <w:sz w:val="20"/>
                <w:szCs w:val="20"/>
                <w:color w:val="auto"/>
              </w:rPr>
            </w:pPr>
            <w:r>
              <w:rPr>
                <w:rFonts w:ascii="Arial" w:cs="Arial" w:eastAsia="Arial" w:hAnsi="Arial"/>
                <w:sz w:val="18"/>
                <w:szCs w:val="18"/>
                <w:color w:val="auto"/>
              </w:rPr>
              <w:t>68.36</w:t>
            </w: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2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6,201,485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58.61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28,528</w:t>
            </w:r>
          </w:p>
        </w:tc>
        <w:tc>
          <w:tcPr>
            <w:tcW w:w="0" w:type="dxa"/>
            <w:vAlign w:val="bottom"/>
          </w:tcPr>
          <w:p>
            <w:pPr>
              <w:spacing w:after="0"/>
              <w:rPr>
                <w:sz w:val="1"/>
                <w:szCs w:val="1"/>
                <w:color w:val="auto"/>
              </w:rPr>
            </w:pPr>
          </w:p>
        </w:tc>
      </w:tr>
      <w:tr>
        <w:trPr>
          <w:trHeight w:val="237"/>
        </w:trPr>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Exercisable at December 31, 2019</w:t>
            </w:r>
          </w:p>
        </w:tc>
        <w:tc>
          <w:tcPr>
            <w:tcW w:w="2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3,541,821</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77"/>
              <w:spacing w:after="0"/>
              <w:rPr>
                <w:sz w:val="20"/>
                <w:szCs w:val="20"/>
                <w:color w:val="auto"/>
              </w:rPr>
            </w:pPr>
            <w:r>
              <w:rPr>
                <w:rFonts w:ascii="Arial" w:cs="Arial" w:eastAsia="Arial" w:hAnsi="Arial"/>
                <w:sz w:val="18"/>
                <w:szCs w:val="18"/>
                <w:color w:val="auto"/>
              </w:rPr>
              <w:t>58.90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December 31, 2019</w:t>
            </w:r>
          </w:p>
        </w:tc>
        <w:tc>
          <w:tcPr>
            <w:tcW w:w="2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6,201,485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58.61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28,528</w:t>
            </w:r>
          </w:p>
        </w:tc>
        <w:tc>
          <w:tcPr>
            <w:tcW w:w="0" w:type="dxa"/>
            <w:vAlign w:val="bottom"/>
          </w:tcPr>
          <w:p>
            <w:pPr>
              <w:spacing w:after="0"/>
              <w:rPr>
                <w:sz w:val="1"/>
                <w:szCs w:val="1"/>
                <w:color w:val="auto"/>
              </w:rPr>
            </w:pPr>
          </w:p>
        </w:tc>
      </w:tr>
      <w:tr>
        <w:trPr>
          <w:trHeight w:val="27"/>
        </w:trPr>
        <w:tc>
          <w:tcPr>
            <w:tcW w:w="488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grant date fair value of options granted was $36.44, $53.22 and $35.24 during the years ended December 31, 2019, 2018 and 2017, respectively. The total intrinsic value of options exercised was $6.4 million, $65.1 million and $31.5 million during the years ended December 31, 2019, 2018 and 2017, respectively.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the total unrecognized compensation expense related to unvested stock option awards was $92.3 million, which we expect to recognize over a weighted-average period of approximately 2.54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vesting, each RSU entitles the holder to receive a specified number of shares of our common stock. The following table presents RSU activity for the year ended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6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5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Stock Units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2018</w:t>
            </w:r>
          </w:p>
        </w:tc>
        <w:tc>
          <w:tcPr>
            <w:tcW w:w="3860" w:type="dxa"/>
            <w:vAlign w:val="bottom"/>
            <w:tcBorders>
              <w:bottom w:val="single" w:sz="8" w:color="CCEEFF"/>
            </w:tcBorders>
            <w:shd w:val="clear" w:color="auto" w:fill="CCEEFF"/>
          </w:tcPr>
          <w:p>
            <w:pPr>
              <w:jc w:val="center"/>
              <w:ind w:left="2875"/>
              <w:spacing w:after="0"/>
              <w:rPr>
                <w:sz w:val="20"/>
                <w:szCs w:val="20"/>
                <w:color w:val="auto"/>
              </w:rPr>
            </w:pPr>
            <w:r>
              <w:rPr>
                <w:rFonts w:ascii="Arial" w:cs="Arial" w:eastAsia="Arial" w:hAnsi="Arial"/>
                <w:sz w:val="18"/>
                <w:szCs w:val="18"/>
                <w:color w:val="auto"/>
                <w:w w:val="89"/>
              </w:rPr>
              <w:t>532,144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3860" w:type="dxa"/>
            <w:vAlign w:val="bottom"/>
          </w:tcPr>
          <w:p>
            <w:pPr>
              <w:jc w:val="center"/>
              <w:ind w:left="2875"/>
              <w:spacing w:after="0"/>
              <w:rPr>
                <w:sz w:val="20"/>
                <w:szCs w:val="20"/>
                <w:color w:val="auto"/>
              </w:rPr>
            </w:pPr>
            <w:r>
              <w:rPr>
                <w:rFonts w:ascii="Arial" w:cs="Arial" w:eastAsia="Arial" w:hAnsi="Arial"/>
                <w:sz w:val="18"/>
                <w:szCs w:val="18"/>
                <w:color w:val="auto"/>
                <w:w w:val="89"/>
              </w:rPr>
              <w:t>505,362</w:t>
            </w:r>
          </w:p>
        </w:tc>
        <w:tc>
          <w:tcPr>
            <w:tcW w:w="300" w:type="dxa"/>
            <w:vAlign w:val="bottom"/>
          </w:tcPr>
          <w:p>
            <w:pPr>
              <w:spacing w:after="0"/>
              <w:rPr>
                <w:sz w:val="21"/>
                <w:szCs w:val="21"/>
                <w:color w:val="auto"/>
              </w:rPr>
            </w:pP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860" w:type="dxa"/>
            <w:vAlign w:val="bottom"/>
            <w:tcBorders>
              <w:bottom w:val="single" w:sz="8" w:color="CCEEFF"/>
            </w:tcBorders>
            <w:shd w:val="clear" w:color="auto" w:fill="CCEEFF"/>
          </w:tcPr>
          <w:p>
            <w:pPr>
              <w:jc w:val="center"/>
              <w:ind w:left="2835"/>
              <w:spacing w:after="0"/>
              <w:rPr>
                <w:sz w:val="20"/>
                <w:szCs w:val="20"/>
                <w:color w:val="auto"/>
              </w:rPr>
            </w:pPr>
            <w:r>
              <w:rPr>
                <w:rFonts w:ascii="Arial" w:cs="Arial" w:eastAsia="Arial" w:hAnsi="Arial"/>
                <w:sz w:val="18"/>
                <w:szCs w:val="18"/>
                <w:color w:val="auto"/>
                <w:w w:val="90"/>
              </w:rPr>
              <w:t>(166,740)</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860" w:type="dxa"/>
            <w:vAlign w:val="bottom"/>
          </w:tcPr>
          <w:p>
            <w:pPr>
              <w:jc w:val="center"/>
              <w:ind w:left="2835"/>
              <w:spacing w:after="0"/>
              <w:rPr>
                <w:sz w:val="20"/>
                <w:szCs w:val="20"/>
                <w:color w:val="auto"/>
              </w:rPr>
            </w:pPr>
            <w:r>
              <w:rPr>
                <w:rFonts w:ascii="Arial" w:cs="Arial" w:eastAsia="Arial" w:hAnsi="Arial"/>
                <w:sz w:val="18"/>
                <w:szCs w:val="18"/>
                <w:color w:val="auto"/>
                <w:w w:val="90"/>
              </w:rPr>
              <w:t>(103,813)</w:t>
            </w:r>
          </w:p>
        </w:tc>
        <w:tc>
          <w:tcPr>
            <w:tcW w:w="300" w:type="dxa"/>
            <w:vAlign w:val="bottom"/>
          </w:tcPr>
          <w:p>
            <w:pPr>
              <w:spacing w:after="0"/>
              <w:rPr>
                <w:sz w:val="21"/>
                <w:szCs w:val="21"/>
                <w:color w:val="auto"/>
              </w:rPr>
            </w:pP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2019</w:t>
            </w:r>
          </w:p>
        </w:tc>
        <w:tc>
          <w:tcPr>
            <w:tcW w:w="3860" w:type="dxa"/>
            <w:vAlign w:val="bottom"/>
            <w:tcBorders>
              <w:bottom w:val="single" w:sz="8" w:color="CCEEFF"/>
            </w:tcBorders>
            <w:shd w:val="clear" w:color="auto" w:fill="CCEEFF"/>
          </w:tcPr>
          <w:p>
            <w:pPr>
              <w:jc w:val="center"/>
              <w:ind w:left="2875"/>
              <w:spacing w:after="0"/>
              <w:rPr>
                <w:sz w:val="20"/>
                <w:szCs w:val="20"/>
                <w:color w:val="auto"/>
              </w:rPr>
            </w:pPr>
            <w:r>
              <w:rPr>
                <w:rFonts w:ascii="Arial" w:cs="Arial" w:eastAsia="Arial" w:hAnsi="Arial"/>
                <w:sz w:val="18"/>
                <w:szCs w:val="18"/>
                <w:color w:val="auto"/>
                <w:w w:val="89"/>
              </w:rPr>
              <w:t>766,953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7"/>
        </w:trPr>
        <w:tc>
          <w:tcPr>
            <w:tcW w:w="5680" w:type="dxa"/>
            <w:vAlign w:val="bottom"/>
            <w:shd w:val="clear" w:color="auto" w:fill="000000"/>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approximately $28.1 million of total unrecognized compensation expense related to RSUs, which we expect to be recognized over a weighted-average period of 1.71 years.</w:t>
      </w:r>
    </w:p>
    <w:p>
      <w:pPr>
        <w:sectPr>
          <w:pgSz w:w="11900" w:h="16838" w:orient="portrait"/>
          <w:cols w:equalWidth="0" w:num="1">
            <w:col w:w="11420"/>
          </w:cols>
          <w:pgMar w:left="240" w:top="1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Performance-based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achievement of the performance-based and service-based vesting criteria, each PSU entitles the holder to receive a specified number of shares of our common stock. The following table presents PSU activity for the year ended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15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Stock Units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2018</w:t>
            </w:r>
          </w:p>
        </w:tc>
        <w:tc>
          <w:tcPr>
            <w:tcW w:w="3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169,031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3860" w:type="dxa"/>
            <w:vAlign w:val="bottom"/>
          </w:tcPr>
          <w:p>
            <w:pPr>
              <w:jc w:val="right"/>
              <w:ind w:right="75"/>
              <w:spacing w:after="0"/>
              <w:rPr>
                <w:sz w:val="20"/>
                <w:szCs w:val="20"/>
                <w:color w:val="auto"/>
              </w:rPr>
            </w:pPr>
            <w:r>
              <w:rPr>
                <w:rFonts w:ascii="Arial" w:cs="Arial" w:eastAsia="Arial" w:hAnsi="Arial"/>
                <w:sz w:val="18"/>
                <w:szCs w:val="18"/>
                <w:color w:val="auto"/>
              </w:rPr>
              <w:t>216,143</w:t>
            </w:r>
          </w:p>
        </w:tc>
        <w:tc>
          <w:tcPr>
            <w:tcW w:w="300" w:type="dxa"/>
            <w:vAlign w:val="bottom"/>
          </w:tcPr>
          <w:p>
            <w:pPr>
              <w:spacing w:after="0"/>
              <w:rPr>
                <w:sz w:val="21"/>
                <w:szCs w:val="21"/>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(167,031)</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8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2019</w:t>
            </w:r>
          </w:p>
        </w:tc>
        <w:tc>
          <w:tcPr>
            <w:tcW w:w="3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218,143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7"/>
        </w:trPr>
        <w:tc>
          <w:tcPr>
            <w:tcW w:w="5680" w:type="dxa"/>
            <w:vAlign w:val="bottom"/>
            <w:shd w:val="clear" w:color="auto" w:fill="000000"/>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Stock-based compensation expense associated with these PSUs is recognized if the underlying performance condition is considered probable of achievement using our management’s best estimates. As of December 31, 2019, there was approximately $1.5 million of total unrecognized compensation expense related to PSUs with performance-based vesting criteria that are considered probable of achievement, which we expect to recognize over a weighted-average period of 0.33 years, and $8.0 million of total unrecognized compensation expense related to PSUs with performance-based vesting criteria that are considered not probable of achievement.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stock units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issued certain equity awards that contain market based vesting conditions, in which shares of stock are earned at vesting based on stock price performance. The fair value of MSUs are estimated using a Monte Carlo simulation model. Assumptions and estimates utilized in the model include the risk-free interest rate, dividend yield, expected stock volatility and the estimated period to achievement of the market condition. The following table presents MSU activity for the year ended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8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5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38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Stock Units</w:t>
            </w: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2018</w:t>
            </w:r>
          </w:p>
        </w:tc>
        <w:tc>
          <w:tcPr>
            <w:tcW w:w="3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Granted</w:t>
            </w:r>
          </w:p>
        </w:tc>
        <w:tc>
          <w:tcPr>
            <w:tcW w:w="3840" w:type="dxa"/>
            <w:vAlign w:val="bottom"/>
          </w:tcPr>
          <w:p>
            <w:pPr>
              <w:jc w:val="right"/>
              <w:ind w:right="57"/>
              <w:spacing w:after="0"/>
              <w:rPr>
                <w:sz w:val="20"/>
                <w:szCs w:val="20"/>
                <w:color w:val="auto"/>
              </w:rPr>
            </w:pPr>
            <w:r>
              <w:rPr>
                <w:rFonts w:ascii="Arial" w:cs="Arial" w:eastAsia="Arial" w:hAnsi="Arial"/>
                <w:sz w:val="18"/>
                <w:szCs w:val="18"/>
                <w:color w:val="auto"/>
              </w:rPr>
              <w:t>42,695</w:t>
            </w:r>
          </w:p>
        </w:tc>
        <w:tc>
          <w:tcPr>
            <w:tcW w:w="340" w:type="dxa"/>
            <w:vAlign w:val="bottom"/>
          </w:tcPr>
          <w:p>
            <w:pPr>
              <w:spacing w:after="0"/>
              <w:rPr>
                <w:sz w:val="21"/>
                <w:szCs w:val="21"/>
                <w:color w:val="auto"/>
              </w:rPr>
            </w:pPr>
          </w:p>
        </w:tc>
        <w:tc>
          <w:tcPr>
            <w:tcW w:w="1540" w:type="dxa"/>
            <w:vAlign w:val="bottom"/>
          </w:tcPr>
          <w:p>
            <w:pPr>
              <w:jc w:val="right"/>
              <w:ind w:right="79"/>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31, 2019</w:t>
            </w:r>
          </w:p>
        </w:tc>
        <w:tc>
          <w:tcPr>
            <w:tcW w:w="3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42,695</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7"/>
        </w:trPr>
        <w:tc>
          <w:tcPr>
            <w:tcW w:w="5700" w:type="dxa"/>
            <w:vAlign w:val="bottom"/>
            <w:shd w:val="clear" w:color="auto" w:fill="000000"/>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approximately $0.8 million of total unrecognized compensation expense related to MSUs, which we expect to recognize over the remaining derived service period of 0.72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Employee Stock Purchase Plan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2013, our Board of Directors adopted, and in July 2013 our stockholders approved, the 2013 Employee Stock Purchase Plan, or the 2013 ESPP. We issued 77,981 shares and 53,255 shares during the years ended December 31, 2019 and 2018, respectively, under the 2013 ESPP. The 2013 ESPP provides participating employees with the opportunity to purchase up to an aggregate of 327,272 shares of our common stock. As of December 31, 2019, we had 82,555 shares available for future issuance under the 2013 ESPP. On January 1, 2020, the annual increase for the 2013 ESPP resulted in an additional 509,091 shares authorized for issuance.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6"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2019, 2018 and 2017, we recorded stock-based compensation expense for employee and non-employee stock options, RSUs, PSUs, ESPP shares and other stock-based awards. Stock-based compensation expense by award type included within the consolidated statements of operations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48,219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51,460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43,997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2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19,079</w:t>
            </w:r>
          </w:p>
        </w:tc>
        <w:tc>
          <w:tcPr>
            <w:tcW w:w="4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12,032</w:t>
            </w:r>
          </w:p>
        </w:tc>
        <w:tc>
          <w:tcPr>
            <w:tcW w:w="46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2,858</w:t>
            </w: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stock units</w:t>
            </w:r>
          </w:p>
        </w:tc>
        <w:tc>
          <w:tcPr>
            <w:tcW w:w="2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2,647</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8,717</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2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1,437</w:t>
            </w:r>
          </w:p>
        </w:tc>
        <w:tc>
          <w:tcPr>
            <w:tcW w:w="4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1,148</w:t>
            </w:r>
          </w:p>
        </w:tc>
        <w:tc>
          <w:tcPr>
            <w:tcW w:w="46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954</w:t>
            </w: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stock awards</w:t>
            </w:r>
          </w:p>
        </w:tc>
        <w:tc>
          <w:tcPr>
            <w:tcW w:w="2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991</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72,373</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73,357</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47,809</w:t>
            </w:r>
          </w:p>
        </w:tc>
      </w:tr>
      <w:tr>
        <w:trPr>
          <w:trHeight w:val="34"/>
        </w:trPr>
        <w:tc>
          <w:tcPr>
            <w:tcW w:w="48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equity-based awards were allocated as follows in the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2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39,029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41,982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30,807</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33,344</w:t>
            </w:r>
          </w:p>
        </w:tc>
        <w:tc>
          <w:tcPr>
            <w:tcW w:w="4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31,375</w:t>
            </w:r>
          </w:p>
        </w:tc>
        <w:tc>
          <w:tcPr>
            <w:tcW w:w="50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17,002</w:t>
            </w:r>
          </w:p>
        </w:tc>
      </w:tr>
      <w:tr>
        <w:trPr>
          <w:trHeight w:val="27"/>
        </w:trPr>
        <w:tc>
          <w:tcPr>
            <w:tcW w:w="4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72,373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73,357</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47,809</w:t>
            </w:r>
          </w:p>
        </w:tc>
      </w:tr>
      <w:tr>
        <w:trPr>
          <w:trHeight w:val="27"/>
        </w:trPr>
        <w:tc>
          <w:tcPr>
            <w:tcW w:w="488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years ended December 31,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granted to employees and nonemployees is estimated on the date of grant using the Black-Scholes option-pricing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assumptions used in calculating the grant date fair value of the awards: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auto"/>
            </w:tcBorders>
          </w:tcPr>
          <w:p>
            <w:pPr>
              <w:ind w:left="7060"/>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6.06</w:t>
            </w:r>
          </w:p>
        </w:tc>
        <w:tc>
          <w:tcPr>
            <w:tcW w:w="17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76.19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76.62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7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term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use the “simplified method” as prescribed by the Securities and Exchange Commission 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 to estimate the expected term of stock option grants. Under this approach, the weighted-average expected life is presumed to be the average of the contractual term of ten years and the weighted-average vesting term of the stock options, taking into consideration multiple vesting tranches. We utilize this method due to lack of historical data and the plain-vanilla nature of our share-based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weighted-average of expected volatility based on the volatilities of a representative group of publicly traded biopharmaceutical companies, including ourselves. The expected volatility has been determined using a weighted-average of the historical volatilities of the representative group of companies for a period equal to the expected term of the option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Risk-free rate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risk-free rate is based on the yield curve of U.S. Treasury securities with periods commensurate with the expected term of the options being valued.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never paid, and do not anticipate paying, any cash dividends in the foreseeable future, and, therefore, use an expected dividend yield of zero in the option-pricing model.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forfeitures as they occur and, therefore, do not estimate forfeitures.</w:t>
      </w: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domestic and foreign components of loss before income taxes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(432,535)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(311,159)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(290,423)</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Foreign</w:t>
            </w:r>
          </w:p>
        </w:tc>
        <w:tc>
          <w:tcPr>
            <w:tcW w:w="3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21,063</w:t>
            </w:r>
          </w:p>
        </w:tc>
        <w:tc>
          <w:tcPr>
            <w:tcW w:w="4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(34,869)</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(24,247)</w:t>
            </w:r>
          </w:p>
        </w:tc>
      </w:tr>
      <w:tr>
        <w:trPr>
          <w:trHeight w:val="27"/>
        </w:trPr>
        <w:tc>
          <w:tcPr>
            <w:tcW w:w="3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(411,472)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(346,028)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(314,670)</w:t>
            </w:r>
          </w:p>
        </w:tc>
      </w:tr>
      <w:tr>
        <w:trPr>
          <w:trHeight w:val="27"/>
        </w:trPr>
        <w:tc>
          <w:tcPr>
            <w:tcW w:w="3760" w:type="dxa"/>
            <w:vAlign w:val="bottom"/>
            <w:shd w:val="clear" w:color="auto" w:fill="000000"/>
          </w:tcPr>
          <w:p>
            <w:pPr>
              <w:spacing w:after="0"/>
              <w:rPr>
                <w:sz w:val="2"/>
                <w:szCs w:val="2"/>
                <w:color w:val="auto"/>
              </w:rPr>
            </w:pPr>
          </w:p>
        </w:tc>
        <w:tc>
          <w:tcPr>
            <w:tcW w:w="3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provision for income taxes for the years ended December 31, 2019, 2018 and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expected income tax benefit (expense) computed using the federal statutory income tax rate to our effective income tax rate is as follows for the years ended December 31, 2019, 2018 and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auto"/>
            </w:tcBorders>
          </w:tcPr>
          <w:p>
            <w:pPr>
              <w:ind w:left="7060"/>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computed at federal statutory tax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6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6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3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00" w:type="dxa"/>
            <w:vAlign w:val="bottom"/>
            <w:tcBorders>
              <w:bottom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8"/>
                <w:szCs w:val="18"/>
                <w:color w:val="auto"/>
                <w:w w:val="95"/>
              </w:rPr>
              <w:t>(27.2)%</w:t>
            </w:r>
          </w:p>
        </w:tc>
        <w:tc>
          <w:tcPr>
            <w:tcW w:w="10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5"/>
              </w:rPr>
              <w:t>(28.4)%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General business credits and other credits</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6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3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 and other adjustments</w:t>
            </w:r>
          </w:p>
        </w:tc>
        <w:tc>
          <w:tcPr>
            <w:tcW w:w="1700" w:type="dxa"/>
            <w:vAlign w:val="bottom"/>
            <w:tcBorders>
              <w:bottom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Incentive stock options</w:t>
            </w:r>
          </w:p>
        </w:tc>
        <w:tc>
          <w:tcPr>
            <w:tcW w:w="1700" w:type="dxa"/>
            <w:vAlign w:val="bottom"/>
            <w:gridSpan w:val="2"/>
          </w:tcPr>
          <w:p>
            <w:pPr>
              <w:jc w:val="right"/>
              <w:ind w:right="994"/>
              <w:spacing w:after="0"/>
              <w:rPr>
                <w:sz w:val="20"/>
                <w:szCs w:val="20"/>
                <w:color w:val="auto"/>
              </w:rPr>
            </w:pPr>
            <w:r>
              <w:rPr>
                <w:rFonts w:ascii="Arial" w:cs="Arial" w:eastAsia="Arial" w:hAnsi="Arial"/>
                <w:sz w:val="18"/>
                <w:szCs w:val="18"/>
                <w:color w:val="auto"/>
              </w:rPr>
              <w:t>(0.6)%</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Impact of federal rate change</w:t>
            </w:r>
          </w:p>
        </w:tc>
        <w:tc>
          <w:tcPr>
            <w:tcW w:w="1700" w:type="dxa"/>
            <w:vAlign w:val="bottom"/>
            <w:gridSpan w:val="2"/>
          </w:tcPr>
          <w:p>
            <w:pPr>
              <w:jc w:val="right"/>
              <w:ind w:right="994"/>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31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7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our deferred tax assets and liabilities for the years ended December 31, 2019 and 2018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294,614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211,563</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14,372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21,956</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Tax credit carryforwards</w:t>
            </w:r>
          </w:p>
        </w:tc>
        <w:tc>
          <w:tcPr>
            <w:tcW w:w="2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141,219</w:t>
            </w:r>
          </w:p>
        </w:tc>
        <w:tc>
          <w:tcPr>
            <w:tcW w:w="4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120,605</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Purchased intangible assets</w:t>
            </w:r>
          </w:p>
        </w:tc>
        <w:tc>
          <w:tcPr>
            <w:tcW w:w="2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14,479</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3,204</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30,861</w:t>
            </w:r>
          </w:p>
        </w:tc>
        <w:tc>
          <w:tcPr>
            <w:tcW w:w="4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27,636</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2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27,173</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4,458</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Non-deductible accruals and reserves, including inventory</w:t>
            </w:r>
          </w:p>
        </w:tc>
        <w:tc>
          <w:tcPr>
            <w:tcW w:w="2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4,729</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4,900</w:t>
            </w:r>
          </w:p>
        </w:tc>
      </w:tr>
      <w:tr>
        <w:trPr>
          <w:trHeight w:val="237"/>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assets</w:t>
            </w:r>
          </w:p>
        </w:tc>
        <w:tc>
          <w:tcPr>
            <w:tcW w:w="2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527,447</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394,322</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Operating lease right of use asset</w:t>
            </w:r>
          </w:p>
        </w:tc>
        <w:tc>
          <w:tcPr>
            <w:tcW w:w="2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(22,625)</w:t>
            </w:r>
          </w:p>
        </w:tc>
        <w:tc>
          <w:tcPr>
            <w:tcW w:w="4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(502,209)</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(390,753)</w:t>
            </w:r>
          </w:p>
        </w:tc>
      </w:tr>
      <w:tr>
        <w:trPr>
          <w:trHeight w:val="237"/>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deferred taxes</w:t>
            </w:r>
          </w:p>
        </w:tc>
        <w:tc>
          <w:tcPr>
            <w:tcW w:w="2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34"/>
        </w:trPr>
        <w:tc>
          <w:tcPr>
            <w:tcW w:w="6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Tax Cuts and Jobs Act, or TCJA, was signed into law. Among other things, the TCJA permanently lowers the corporate federal income tax rate to 21% from the existing maximum rate of 35%, effective for tax years including or commencing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provision of $90.0 million to income tax expense in continuing operations and a corresponding reduction in the valuation allowance. As a result, there was no impact on our consolidated statements of operations from the reduction in tax rate. The other provisions of the TCJA did not have a material impact on the consolidated financial statements.</w:t>
      </w:r>
    </w:p>
    <w:p>
      <w:pPr>
        <w:sectPr>
          <w:pgSz w:w="11900" w:h="16838" w:orient="portrait"/>
          <w:cols w:equalWidth="0" w:num="1">
            <w:col w:w="11420"/>
          </w:cols>
          <w:pgMar w:left="240" w:top="1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type w:val="continuous"/>
        </w:sectPr>
      </w:pPr>
    </w:p>
    <w:bookmarkStart w:id="133" w:name="page134"/>
    <w:bookmarkEnd w:id="133"/>
    <w:p>
      <w:pPr>
        <w:jc w:val="both"/>
        <w:spacing w:after="0" w:line="272" w:lineRule="auto"/>
        <w:rPr>
          <w:sz w:val="20"/>
          <w:szCs w:val="20"/>
          <w:color w:val="auto"/>
        </w:rPr>
      </w:pPr>
      <w:r>
        <w:rPr>
          <w:rFonts w:ascii="Arial" w:cs="Arial" w:eastAsia="Arial" w:hAnsi="Arial"/>
          <w:sz w:val="17"/>
          <w:szCs w:val="17"/>
          <w:color w:val="auto"/>
        </w:rPr>
        <w:t>As of December 31, 2019, we had net operating loss carryforwards, or NOLs, available to reduce federal, state and foreign income taxes of approximately $1,133.0 million, $877.9 million and $61.9 million, respectively. If not utilized, these NOLs begin to expire in 2033 (for pre-2018 NOLs), 2032 and 2023, respectively. Approximately $669.6 million of federal NOLs can be carried forward indefinitely. At December 31, 2019, we also had available research and development tax credits for federal and state income tax purposes of approximately $31.2 million and $15.0 million, respectively. If not utilized, the credits begin to expire in 2027 and 2020 for federal and state income tax purposes, respectively. We engaged in clinical testing activities and incurred expenses that qualify for the federal orphan drug tax credit. At December 31, 2019, we had available orphan drug tax credits for federal purposes only of approximately $98.1 million. If not utilized, the orphan drug credits begin to expire in 2035.</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provided by Section 382 of the Internal Revenue Code of 1986, or Section 382, and similar state provisions, utilization of NOLs and tax credit carryforwards may be subject to substantial annual limitations due to ownership change limitations that have previously occurred or that could occur in the future. Ownership changes may limit the amount of NOLs and tax credit carryforwards that can be utilized annually to offset future taxable income and tax, respectively. In general, an ownership change, as defined by Section 382, results from transactions that increase the ownership of five percent stockholders in the stock of a corporation by more than 50 percent in the aggregate over a three year period. We completed a review of our changes in ownership through December 31, 2019 and determined that transactions have resulted in no ownership changes during the year ended December 31, 2019, as defined by Section 382. The impact of the historical ownership changes has been reflected in our deferred tax assets in the table above. There could be additional ownership changes after December 31, 2019 that could further limit the amount of NOLs and tax credit carryforwards that we can utilize.</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ASC 740, we have evaluated the positive and negative evidence bearing upon the realizability of our deferred tax assets. Based on the weight of available evidence, both positive and negative, we recorded a valuation allowance of $502.2 million and $390.8 million as of December 31, 2019 and December 31, 2018, respectively, because we have determined that it is more likely than not that these assets will not be fully realized. The valuation allowance increased by $111.4 million and $88.8 million for the years ended December 31, 2019 and, 2018, respectively.</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Accounting Standards Update No. 2019-12 –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amendments in ASU 2019-12 are effective for the fiscal years beginning after December 15, 2020. Early adoption is permitted, including adoption in any interim period. The Company has early adopted this amendment as of January 1, 2019. There was no material impact to the Company’s consolidated financial position, results of operation, or cash flows.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the accounting guidance in ASC 740 related to accounting for uncertainty in income taxes. Our reserves related to taxes are based on a determination of whether, and how much of, a tax benefit taken by us in our tax filings or positions is more likely than not to be realized following resolution of any potential contingencies present related to the tax benefit.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unrecognized tax benefits activity for the years ended December 31,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year</w:t>
            </w:r>
          </w:p>
        </w:tc>
        <w:tc>
          <w:tcPr>
            <w:tcW w:w="2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14,288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11,263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Gross increases - current period tax positions</w:t>
            </w:r>
          </w:p>
        </w:tc>
        <w:tc>
          <w:tcPr>
            <w:tcW w:w="2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3,172</w:t>
            </w:r>
          </w:p>
        </w:tc>
        <w:tc>
          <w:tcPr>
            <w:tcW w:w="4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3,025</w:t>
            </w:r>
          </w:p>
        </w:tc>
      </w:tr>
      <w:tr>
        <w:trPr>
          <w:trHeight w:val="27"/>
        </w:trPr>
        <w:tc>
          <w:tcPr>
            <w:tcW w:w="6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end of the year</w:t>
            </w:r>
          </w:p>
        </w:tc>
        <w:tc>
          <w:tcPr>
            <w:tcW w:w="2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17,460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14,288</w:t>
            </w:r>
          </w:p>
        </w:tc>
      </w:tr>
      <w:tr>
        <w:trPr>
          <w:trHeight w:val="27"/>
        </w:trPr>
        <w:tc>
          <w:tcPr>
            <w:tcW w:w="6100" w:type="dxa"/>
            <w:vAlign w:val="bottom"/>
            <w:shd w:val="clear" w:color="auto" w:fill="000000"/>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uncertain tax position does not impact our effective income tax rate due to the full valuation allowance.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taxation in the United States and Switzerland. The statute of limitations for assessment by the IRS and state tax authorities is open for tax years ending December 31, 2019, 2018, 2017, and 2016, although carryforward attributes that were generated for tax years prior to 2016 may still be adjusted upon examination by the IRS or state tax authorities if they either have been, or will be, used in a future period. The statute of limitations for assessment in Switzerland remains open for tax year ending December 31, 2019, 2018, 2017, and 2016. There are currently no federal, state or foreign audits in progress.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Defined Contribution Benefit Plan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a 401(k) retirement plan, in which substantially all of our full-time employees are eligible to participate. Participants may contribute a percentage of their annual compensation to this plan, subject to statutory limitations. We will make matching contributions equal to 100% of the employee’s contributions, subject to a maximum of 4% of eligible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Note 16. Net Loss per Share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net loss per share is calculated by dividing net loss by the weighted-average shares outstanding during the period, without consideration for common stock equivalents. Diluted net loss per share is calculated by adjusting the weighted average shares outstanding for the dilutive effect of common stock equivalents outstanding for the period, determined using the treasury stock method. For purposes of the dilutive net loss per share calculation, stock options, RSUs, PSUs and MSUs for which the performance and market vesting conditions, respectively, have been deemed probable, and 2013 ESPP shares are considered to be common stock equivalents, while PSUs and MSUs with performance and market vesting conditions, respectively, that were not deemed probable as of December 31, 2019 are not considered to be common stock equivalents.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we had a net loss for all periods presented, the effect of all potentially dilutive securities is anti-dilutive. Accordingly, basic and diluted net loss per share was the same for the years ended December 31, 2019, 2018 and 2017.</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applicable to common stockholders for the periods indicated because including them would have had an anti-dilutive effect: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5"/>
              </w:rPr>
              <w:t>Years ended December 31,</w:t>
            </w:r>
          </w:p>
        </w:tc>
        <w:tc>
          <w:tcPr>
            <w:tcW w:w="124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6,201,485</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5,416,069</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5,577,562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766,953</w:t>
            </w: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532,144</w:t>
            </w:r>
          </w:p>
        </w:tc>
        <w:tc>
          <w:tcPr>
            <w:tcW w:w="40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125,584</w:t>
            </w:r>
          </w:p>
        </w:tc>
      </w:tr>
      <w:tr>
        <w:trPr>
          <w:trHeight w:val="27"/>
        </w:trPr>
        <w:tc>
          <w:tcPr>
            <w:tcW w:w="4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stock units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169,031</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Employee Stock Purchase Plan shares</w:t>
            </w: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49,418</w:t>
            </w: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32,304</w:t>
            </w:r>
          </w:p>
        </w:tc>
        <w:tc>
          <w:tcPr>
            <w:tcW w:w="40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22,062</w:t>
            </w:r>
          </w:p>
        </w:tc>
      </w:tr>
      <w:tr>
        <w:trPr>
          <w:trHeight w:val="27"/>
        </w:trPr>
        <w:tc>
          <w:tcPr>
            <w:tcW w:w="4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7,089,902</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6,149,548</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5,725,208</w:t>
            </w:r>
          </w:p>
        </w:tc>
      </w:tr>
      <w:tr>
        <w:trPr>
          <w:trHeight w:val="783"/>
        </w:trPr>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8"/>
              </w:rPr>
              <w:t>Note 17. Selected Quarterly Financial Data (Unaudited)</w:t>
            </w:r>
          </w:p>
        </w:tc>
        <w:tc>
          <w:tcPr>
            <w:tcW w:w="6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324"/>
        </w:trPr>
        <w:tc>
          <w:tcPr>
            <w:tcW w:w="6480" w:type="dxa"/>
            <w:vAlign w:val="bottom"/>
            <w:gridSpan w:val="3"/>
          </w:tcPr>
          <w:p>
            <w:pPr>
              <w:spacing w:after="0"/>
              <w:rPr>
                <w:sz w:val="20"/>
                <w:szCs w:val="20"/>
                <w:color w:val="auto"/>
              </w:rPr>
            </w:pPr>
            <w:r>
              <w:rPr>
                <w:rFonts w:ascii="Arial" w:cs="Arial" w:eastAsia="Arial" w:hAnsi="Arial"/>
                <w:sz w:val="18"/>
                <w:szCs w:val="18"/>
                <w:color w:val="auto"/>
              </w:rPr>
              <w:t>The following table contains quarterly financial information for 2019 and 2018:</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2"/>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4"/>
                <w:szCs w:val="14"/>
                <w:color w:val="auto"/>
              </w:rPr>
              <w:t>(in thousands, except per share data)</w:t>
            </w:r>
          </w:p>
        </w:tc>
        <w:tc>
          <w:tcPr>
            <w:tcW w:w="640" w:type="dxa"/>
            <w:vAlign w:val="bottom"/>
          </w:tcPr>
          <w:p>
            <w:pPr>
              <w:spacing w:after="0"/>
              <w:rPr>
                <w:sz w:val="24"/>
                <w:szCs w:val="24"/>
                <w:color w:val="auto"/>
              </w:rPr>
            </w:pPr>
          </w:p>
        </w:tc>
        <w:tc>
          <w:tcPr>
            <w:tcW w:w="1220" w:type="dxa"/>
            <w:vAlign w:val="bottom"/>
          </w:tcPr>
          <w:p>
            <w:pPr>
              <w:jc w:val="center"/>
              <w:ind w:right="236"/>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24"/>
                <w:szCs w:val="24"/>
                <w:color w:val="auto"/>
              </w:rPr>
            </w:pPr>
          </w:p>
        </w:tc>
        <w:tc>
          <w:tcPr>
            <w:tcW w:w="140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24"/>
                <w:szCs w:val="24"/>
                <w:color w:val="auto"/>
              </w:rPr>
            </w:pPr>
          </w:p>
        </w:tc>
        <w:tc>
          <w:tcPr>
            <w:tcW w:w="1240" w:type="dxa"/>
            <w:vAlign w:val="bottom"/>
          </w:tcPr>
          <w:p>
            <w:pPr>
              <w:jc w:val="center"/>
              <w:ind w:right="275"/>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1240" w:type="dxa"/>
            <w:vAlign w:val="bottom"/>
          </w:tcPr>
          <w:p>
            <w:pPr>
              <w:jc w:val="center"/>
              <w:ind w:right="235"/>
              <w:spacing w:after="0"/>
              <w:rPr>
                <w:sz w:val="20"/>
                <w:szCs w:val="20"/>
                <w:color w:val="auto"/>
              </w:rPr>
            </w:pPr>
            <w:r>
              <w:rPr>
                <w:rFonts w:ascii="Arial" w:cs="Arial" w:eastAsia="Arial" w:hAnsi="Arial"/>
                <w:sz w:val="14"/>
                <w:szCs w:val="14"/>
                <w:b w:val="1"/>
                <w:bCs w:val="1"/>
                <w:color w:val="auto"/>
                <w:w w:val="99"/>
              </w:rPr>
              <w:t>Fourth</w:t>
            </w:r>
          </w:p>
        </w:tc>
      </w:tr>
      <w:tr>
        <w:trPr>
          <w:trHeight w:val="176"/>
        </w:trPr>
        <w:tc>
          <w:tcPr>
            <w:tcW w:w="4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Quarter</w:t>
            </w: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30,227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26,221</w:t>
            </w:r>
          </w:p>
        </w:tc>
        <w:tc>
          <w:tcPr>
            <w:tcW w:w="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26,024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35,440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(97,483)</w:t>
            </w:r>
          </w:p>
        </w:tc>
        <w:tc>
          <w:tcPr>
            <w:tcW w:w="30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(113,861)</w:t>
            </w:r>
          </w:p>
        </w:tc>
        <w:tc>
          <w:tcPr>
            <w:tcW w:w="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(109,060)</w:t>
            </w:r>
          </w:p>
        </w:tc>
        <w:tc>
          <w:tcPr>
            <w:tcW w:w="4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(105,929)</w:t>
            </w:r>
          </w:p>
        </w:tc>
      </w:tr>
      <w:tr>
        <w:trPr>
          <w:trHeight w:val="27"/>
        </w:trPr>
        <w:tc>
          <w:tcPr>
            <w:tcW w:w="4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(93,078)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(109,871)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(106,173)</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(102,350)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6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(1.60)</w:t>
            </w:r>
          </w:p>
        </w:tc>
      </w:tr>
      <w:tr>
        <w:trPr>
          <w:trHeight w:val="34"/>
        </w:trPr>
        <w:tc>
          <w:tcPr>
            <w:tcW w:w="4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13"/>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color w:val="auto"/>
              </w:rPr>
              <w:t>(in thousands, except per share data)</w:t>
            </w:r>
          </w:p>
        </w:tc>
        <w:tc>
          <w:tcPr>
            <w:tcW w:w="640" w:type="dxa"/>
            <w:vAlign w:val="bottom"/>
          </w:tcPr>
          <w:p>
            <w:pPr>
              <w:spacing w:after="0"/>
              <w:rPr>
                <w:sz w:val="24"/>
                <w:szCs w:val="24"/>
                <w:color w:val="auto"/>
              </w:rPr>
            </w:pPr>
          </w:p>
        </w:tc>
        <w:tc>
          <w:tcPr>
            <w:tcW w:w="1220" w:type="dxa"/>
            <w:vAlign w:val="bottom"/>
          </w:tcPr>
          <w:p>
            <w:pPr>
              <w:jc w:val="center"/>
              <w:ind w:right="236"/>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24"/>
                <w:szCs w:val="24"/>
                <w:color w:val="auto"/>
              </w:rPr>
            </w:pPr>
          </w:p>
        </w:tc>
        <w:tc>
          <w:tcPr>
            <w:tcW w:w="1400" w:type="dxa"/>
            <w:vAlign w:val="bottom"/>
          </w:tcPr>
          <w:p>
            <w:pPr>
              <w:jc w:val="center"/>
              <w:ind w:right="19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24"/>
                <w:szCs w:val="24"/>
                <w:color w:val="auto"/>
              </w:rPr>
            </w:pPr>
          </w:p>
        </w:tc>
        <w:tc>
          <w:tcPr>
            <w:tcW w:w="1240" w:type="dxa"/>
            <w:vAlign w:val="bottom"/>
          </w:tcPr>
          <w:p>
            <w:pPr>
              <w:jc w:val="center"/>
              <w:ind w:right="275"/>
              <w:spacing w:after="0"/>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24"/>
                <w:szCs w:val="24"/>
                <w:color w:val="auto"/>
              </w:rPr>
            </w:pPr>
          </w:p>
        </w:tc>
        <w:tc>
          <w:tcPr>
            <w:tcW w:w="1240" w:type="dxa"/>
            <w:vAlign w:val="bottom"/>
          </w:tcPr>
          <w:p>
            <w:pPr>
              <w:jc w:val="center"/>
              <w:ind w:right="235"/>
              <w:spacing w:after="0"/>
              <w:rPr>
                <w:sz w:val="20"/>
                <w:szCs w:val="20"/>
                <w:color w:val="auto"/>
              </w:rPr>
            </w:pPr>
            <w:r>
              <w:rPr>
                <w:rFonts w:ascii="Arial" w:cs="Arial" w:eastAsia="Arial" w:hAnsi="Arial"/>
                <w:sz w:val="14"/>
                <w:szCs w:val="14"/>
                <w:b w:val="1"/>
                <w:bCs w:val="1"/>
                <w:color w:val="auto"/>
                <w:w w:val="99"/>
              </w:rPr>
              <w:t>Fourth</w:t>
            </w:r>
          </w:p>
        </w:tc>
      </w:tr>
      <w:tr>
        <w:trPr>
          <w:trHeight w:val="176"/>
        </w:trPr>
        <w:tc>
          <w:tcPr>
            <w:tcW w:w="4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8"/>
              </w:rPr>
              <w:t>Quarter</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Quarter</w:t>
            </w: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8,762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40,414</w:t>
            </w:r>
          </w:p>
        </w:tc>
        <w:tc>
          <w:tcPr>
            <w:tcW w:w="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15,198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30,013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(94,012)</w:t>
            </w:r>
          </w:p>
        </w:tc>
        <w:tc>
          <w:tcPr>
            <w:tcW w:w="30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(72,949)</w:t>
            </w:r>
          </w:p>
        </w:tc>
        <w:tc>
          <w:tcPr>
            <w:tcW w:w="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(99,162)</w:t>
            </w:r>
          </w:p>
        </w:tc>
        <w:tc>
          <w:tcPr>
            <w:tcW w:w="4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(96,356)</w:t>
            </w:r>
          </w:p>
        </w:tc>
      </w:tr>
      <w:tr>
        <w:trPr>
          <w:trHeight w:val="27"/>
        </w:trPr>
        <w:tc>
          <w:tcPr>
            <w:tcW w:w="4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(90,825)</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(68,745)</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(94,664)</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(91,794)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6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(1.58)</w:t>
            </w:r>
          </w:p>
        </w:tc>
      </w:tr>
      <w:tr>
        <w:trPr>
          <w:trHeight w:val="34"/>
        </w:trPr>
        <w:tc>
          <w:tcPr>
            <w:tcW w:w="4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391" w:right="239" w:bottom="1440" w:gutter="0" w:footer="0" w:header="0"/>
        </w:sectPr>
      </w:pPr>
    </w:p>
    <w:bookmarkStart w:id="135" w:name="page136"/>
    <w:bookmarkEnd w:id="135"/>
    <w:p>
      <w:pPr>
        <w:ind w:left="1060"/>
        <w:spacing w:after="0"/>
        <w:rPr>
          <w:sz w:val="20"/>
          <w:szCs w:val="20"/>
          <w:color w:val="auto"/>
        </w:rPr>
      </w:pPr>
      <w:r>
        <w:rPr>
          <w:rFonts w:ascii="Arial" w:cs="Arial" w:eastAsia="Arial" w:hAnsi="Arial"/>
          <w:sz w:val="18"/>
          <w:szCs w:val="18"/>
          <w:b w:val="1"/>
          <w:bCs w:val="1"/>
          <w:color w:val="auto"/>
        </w:rPr>
        <w:t>DESCRIPTION OF SECURITIES REGISTERED UNDER SECTION 12 OF THE SECURITIES EXCHANGE ACT OF 1934</w:t>
      </w:r>
    </w:p>
    <w:p>
      <w:pPr>
        <w:jc w:val="right"/>
        <w:spacing w:after="0" w:line="237" w:lineRule="auto"/>
        <w:rPr>
          <w:sz w:val="20"/>
          <w:szCs w:val="20"/>
          <w:color w:val="auto"/>
        </w:rPr>
      </w:pPr>
      <w:r>
        <w:rPr>
          <w:rFonts w:ascii="Arial" w:cs="Arial" w:eastAsia="Arial" w:hAnsi="Arial"/>
          <w:sz w:val="18"/>
          <w:szCs w:val="18"/>
          <w:b w:val="1"/>
          <w:bCs w:val="1"/>
          <w:color w:val="auto"/>
        </w:rPr>
        <w:t>Exhibit 4.3</w:t>
      </w:r>
    </w:p>
    <w:p>
      <w:pPr>
        <w:ind w:right="160" w:firstLine="446"/>
        <w:spacing w:after="0" w:line="252" w:lineRule="auto"/>
        <w:rPr>
          <w:sz w:val="20"/>
          <w:szCs w:val="20"/>
          <w:color w:val="auto"/>
        </w:rPr>
      </w:pPr>
      <w:r>
        <w:rPr>
          <w:rFonts w:ascii="Arial" w:cs="Arial" w:eastAsia="Arial" w:hAnsi="Arial"/>
          <w:sz w:val="18"/>
          <w:szCs w:val="18"/>
          <w:color w:val="auto"/>
        </w:rPr>
        <w:t>The following description of the common stock, $0.001 par value per share (the “Common Stock”), of Agios Pharmaceuticals, Inc. (“us,” “our,” “we” or the “Company”), which is the only security of the Company registered under Section 12 of the Securities Exchange Act of 1934, as amended (the “Exchange Act”), summarizes certain information regarding the Common Stock in our certificate of incorporation, our by-laws and applicable provisions of Delaware corporate law, and is qualified by reference to our certificate of incorporation and by-laws, which are incorporated by reference as Exhibit 3.1 and Exhibit 3.2, respectively, to the Annual Report on Form 10-K.</w:t>
      </w:r>
    </w:p>
    <w:p>
      <w:pPr>
        <w:spacing w:after="0" w:line="16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Our authorized capital stock consists of 125,000,000 shares of common stock, par value $0.001 per share, and 25,000,000 shares of preferred stock, par value $0.001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right="100" w:firstLine="446"/>
        <w:spacing w:after="0" w:line="297"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our Common Stock are entitled to one vote for each share held on all matters submitted to a vote of stockholders 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cumulative voting rights. An election of directors by our stockholders shall be determined by a plurality of the votes cast by the stockholders entitled to vote on the election.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as may be declared and paid on the Common Stock from</w:t>
      </w:r>
      <w:r>
        <w:rPr>
          <w:rFonts w:ascii="Arial" w:cs="Arial" w:eastAsia="Arial" w:hAnsi="Arial"/>
          <w:sz w:val="18"/>
          <w:szCs w:val="18"/>
          <w:i w:val="1"/>
          <w:iCs w:val="1"/>
          <w:color w:val="auto"/>
        </w:rPr>
        <w:t xml:space="preserve"> </w:t>
      </w:r>
      <w:r>
        <w:rPr>
          <w:rFonts w:ascii="Arial" w:cs="Arial" w:eastAsia="Arial" w:hAnsi="Arial"/>
          <w:sz w:val="18"/>
          <w:szCs w:val="18"/>
          <w:color w:val="auto"/>
        </w:rPr>
        <w:t>funds lawfully available therefor as and when determined by our board of directors, subject to any preferential dividend rights of any series of preferred stock that we may designate and issue in the future.</w:t>
      </w:r>
    </w:p>
    <w:p>
      <w:pPr>
        <w:spacing w:after="0" w:line="154"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or dissolution, whether voluntary or involuntary, the holders of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proportionately our net assets available for distribution to stockholders after the payment of all debts and other liabilities and subject to the prior rights of any preferred stock that we may designate and issue in the future.</w:t>
      </w:r>
    </w:p>
    <w:p>
      <w:pPr>
        <w:spacing w:after="0" w:line="141"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 rights. The rights, preferences and privileges of</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are subject to and may be adversely affected by the rights of the holders of shares of any series of preferred stock that we may designate and issue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02" w:lineRule="exact"/>
        <w:rPr>
          <w:sz w:val="20"/>
          <w:szCs w:val="20"/>
          <w:color w:val="auto"/>
        </w:rPr>
      </w:pPr>
    </w:p>
    <w:p>
      <w:pPr>
        <w:ind w:right="180" w:firstLine="446"/>
        <w:spacing w:after="0" w:line="272" w:lineRule="auto"/>
        <w:rPr>
          <w:sz w:val="20"/>
          <w:szCs w:val="20"/>
          <w:color w:val="auto"/>
        </w:rPr>
      </w:pPr>
      <w:r>
        <w:rPr>
          <w:rFonts w:ascii="Arial" w:cs="Arial" w:eastAsia="Arial" w:hAnsi="Arial"/>
          <w:sz w:val="17"/>
          <w:szCs w:val="17"/>
          <w:color w:val="auto"/>
        </w:rPr>
        <w:t>The provisions of Delaware law and our certificate of incorporation and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37"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i w:val="1"/>
          <w:iCs w:val="1"/>
          <w:color w:val="auto"/>
        </w:rPr>
        <w:t xml:space="preserve">Delaware Business Combination Statute. </w:t>
      </w:r>
      <w:r>
        <w:rPr>
          <w:rFonts w:ascii="Arial" w:cs="Arial" w:eastAsia="Arial" w:hAnsi="Arial"/>
          <w:sz w:val="16"/>
          <w:szCs w:val="16"/>
          <w:color w:val="auto"/>
        </w:rPr>
        <w:t>Section 203 of the General Corporation Law of the State of Delaware, which we refer to as the DGCL,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us. Section 203 of the DGCL 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124" w:lineRule="exact"/>
        <w:rPr>
          <w:sz w:val="20"/>
          <w:szCs w:val="20"/>
          <w:color w:val="auto"/>
        </w:rPr>
      </w:pPr>
    </w:p>
    <w:p>
      <w:pPr>
        <w:ind w:left="1100" w:hanging="322"/>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merger with, disposition of significant assets to or receipt of disproportionate financial benefits by the interested stockholder, and</w:t>
      </w:r>
    </w:p>
    <w:p>
      <w:pPr>
        <w:spacing w:after="0" w:line="209" w:lineRule="exact"/>
        <w:rPr>
          <w:rFonts w:ascii="Arial" w:cs="Arial" w:eastAsia="Arial" w:hAnsi="Arial"/>
          <w:sz w:val="17"/>
          <w:szCs w:val="17"/>
          <w:color w:val="auto"/>
        </w:rPr>
      </w:pPr>
    </w:p>
    <w:p>
      <w:pPr>
        <w:ind w:left="1100" w:hanging="322"/>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other transaction that would increase the interested stockholder’s proportionate ownership of any class or series of our capital stock.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ActiveUS 178056837v.3</w:t>
      </w:r>
    </w:p>
    <w:p>
      <w:pPr>
        <w:sectPr>
          <w:pgSz w:w="11900" w:h="16838" w:orient="portrait"/>
          <w:cols w:equalWidth="0" w:num="1">
            <w:col w:w="11420"/>
          </w:cols>
          <w:pgMar w:left="240" w:top="769" w:right="239" w:bottom="1440" w:gutter="0" w:footer="0" w:header="0"/>
        </w:sectPr>
      </w:pPr>
    </w:p>
    <w:bookmarkStart w:id="136" w:name="page137"/>
    <w:bookmarkEnd w:id="136"/>
    <w:p>
      <w:pPr>
        <w:ind w:right="40" w:firstLine="446"/>
        <w:spacing w:after="0" w:line="277"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198" w:lineRule="exact"/>
        <w:rPr>
          <w:sz w:val="20"/>
          <w:szCs w:val="20"/>
          <w:color w:val="auto"/>
        </w:rPr>
      </w:pPr>
    </w:p>
    <w:p>
      <w:pPr>
        <w:ind w:left="1100" w:right="60" w:hanging="322"/>
        <w:spacing w:after="0" w:line="277" w:lineRule="auto"/>
        <w:tabs>
          <w:tab w:leader="none" w:pos="10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129" w:lineRule="exact"/>
        <w:rPr>
          <w:rFonts w:ascii="Arial" w:cs="Arial" w:eastAsia="Arial" w:hAnsi="Arial"/>
          <w:sz w:val="18"/>
          <w:szCs w:val="18"/>
          <w:color w:val="auto"/>
        </w:rPr>
      </w:pPr>
    </w:p>
    <w:p>
      <w:pPr>
        <w:ind w:left="1100" w:right="100" w:hanging="322"/>
        <w:spacing w:after="0" w:line="264" w:lineRule="auto"/>
        <w:tabs>
          <w:tab w:leader="none" w:pos="10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pacing w:after="0" w:line="14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Our certificate of incorporation and by-laws provide for a board of directors divided as nearly equally as possible into three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Each class is elected to a term expiring at the annual meeting of stockholders held in the third year following the year of such election.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and by-laws provides that the authorized number of directors may be changed only by the resolution of our board of directors.</w:t>
      </w:r>
    </w:p>
    <w:p>
      <w:pPr>
        <w:spacing w:after="0" w:line="161"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i w:val="1"/>
          <w:iCs w:val="1"/>
          <w:color w:val="auto"/>
        </w:rPr>
        <w:t>Removal of Directors by Stockholders</w:t>
      </w:r>
      <w:r>
        <w:rPr>
          <w:rFonts w:ascii="Arial" w:cs="Arial" w:eastAsia="Arial" w:hAnsi="Arial"/>
          <w:sz w:val="18"/>
          <w:szCs w:val="18"/>
          <w:color w:val="auto"/>
        </w:rPr>
        <w:t>. Our certificate of incorporation and by-laws provide that a director may be removed only for cause and only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affirmative vote of the holders of at least 75% of the votes that all our stockholders would be entitled to cast in an annual election of directors or class of directors.</w:t>
      </w:r>
    </w:p>
    <w:p>
      <w:pPr>
        <w:spacing w:after="0" w:line="14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i w:val="1"/>
          <w:iCs w:val="1"/>
          <w:color w:val="auto"/>
        </w:rPr>
        <w:t>Super Majority Stockholder Vote Required for Certain Actions</w:t>
      </w:r>
      <w:r>
        <w:rPr>
          <w:rFonts w:ascii="Arial" w:cs="Arial" w:eastAsia="Arial" w:hAnsi="Arial"/>
          <w:sz w:val="18"/>
          <w:szCs w:val="18"/>
          <w:color w:val="auto"/>
        </w:rPr>
        <w:t>. The DGCL provides generally that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 annual election of directors or class of directors. In addition, the affirmative vote of the holders of at least 75% of the votes which all our stockholders would be entitled to cast in an annual election of directors or class of directors is required to amend or repeal or to adopt any provisions inconsistent with any of the provisions of our certificate of incorporation described in this paragraph.</w:t>
      </w:r>
    </w:p>
    <w:p>
      <w:pPr>
        <w:spacing w:after="0" w:line="149"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Our board of directors is authorized, without further action by our stockholders, to issue up to 25,000,000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160" w:lineRule="exact"/>
        <w:rPr>
          <w:sz w:val="20"/>
          <w:szCs w:val="20"/>
          <w:color w:val="auto"/>
        </w:rPr>
      </w:pPr>
    </w:p>
    <w:p>
      <w:pPr>
        <w:ind w:firstLine="446"/>
        <w:spacing w:after="0" w:line="258" w:lineRule="auto"/>
        <w:rPr>
          <w:sz w:val="20"/>
          <w:szCs w:val="20"/>
          <w:color w:val="auto"/>
        </w:rPr>
      </w:pPr>
      <w:r>
        <w:rPr>
          <w:rFonts w:ascii="Arial" w:cs="Arial" w:eastAsia="Arial" w:hAnsi="Arial"/>
          <w:sz w:val="16"/>
          <w:szCs w:val="16"/>
          <w:i w:val="1"/>
          <w:iCs w:val="1"/>
          <w:color w:val="auto"/>
        </w:rPr>
        <w:t>Advance Notice Provisions for Stockholder Proposals and Stockholder Nomination of Directors</w:t>
      </w:r>
      <w:r>
        <w:rPr>
          <w:rFonts w:ascii="Arial" w:cs="Arial" w:eastAsia="Arial" w:hAnsi="Arial"/>
          <w:sz w:val="16"/>
          <w:szCs w:val="16"/>
          <w:color w:val="auto"/>
        </w:rPr>
        <w:t>. Our by-laws provide that, for nominations to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or for other business to be properly brought by a stockholder before a meeting of stockholders, a stockholder must first have given timely notice of the proposal in writing to our secretary. Our certificate of incorporation and by-laws also provide that, except as otherwise required by law, special meetings of our stockholders can only be called by our chairman of the board, our chief executive officer or our board of directors. In addition, our by-laws provide that, for an annual meeting, a stockholder notice generally must be delivered not earlier than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and not later than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first anniversary of the preceding year’s annual meeting; provided, that if the date of the annual meeting is advanced by more than 20 days or delayed by more than 60 days from such anniversary date, notice by the stockholder to be timely must be so delivered not earlier than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date of such meeting and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day on which public announcement of the date of such annual meeting is first made by us. For a special meeting, such notice must be delivered not earlier than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special meeting and not later than the close of business on the later of (x)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special meeting and (y)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day on which notice of the date of such special meeting was mailed or public disclosure of the date of such special meeting was made, whichever first occurs. Detailed requirements as to the form of the notice and information required in the notice are specified in our by-laws.</w:t>
      </w:r>
    </w:p>
    <w:p>
      <w:pPr>
        <w:jc w:val="center"/>
        <w:ind w:right="-39"/>
        <w:spacing w:after="0" w:line="190" w:lineRule="auto"/>
        <w:rPr>
          <w:sz w:val="20"/>
          <w:szCs w:val="20"/>
          <w:color w:val="auto"/>
        </w:rPr>
      </w:pPr>
      <w:r>
        <w:rPr>
          <w:rFonts w:ascii="Arial" w:cs="Arial" w:eastAsia="Arial" w:hAnsi="Arial"/>
          <w:sz w:val="18"/>
          <w:szCs w:val="18"/>
          <w:color w:val="auto"/>
        </w:rPr>
        <w:t>2</w:t>
      </w:r>
    </w:p>
    <w:p>
      <w:pPr>
        <w:ind w:right="120" w:firstLine="446"/>
        <w:spacing w:after="0" w:line="259" w:lineRule="auto"/>
        <w:rPr>
          <w:sz w:val="20"/>
          <w:szCs w:val="20"/>
          <w:color w:val="auto"/>
        </w:rPr>
      </w:pPr>
      <w:r>
        <w:rPr>
          <w:rFonts w:ascii="Arial" w:cs="Arial" w:eastAsia="Arial" w:hAnsi="Arial"/>
          <w:sz w:val="18"/>
          <w:szCs w:val="18"/>
          <w:i w:val="1"/>
          <w:iCs w:val="1"/>
          <w:color w:val="auto"/>
        </w:rPr>
        <w:t>No Action By Written Consent</w:t>
      </w:r>
      <w:r>
        <w:rPr>
          <w:rFonts w:ascii="Arial" w:cs="Arial" w:eastAsia="Arial" w:hAnsi="Arial"/>
          <w:sz w:val="18"/>
          <w:szCs w:val="18"/>
          <w:color w:val="auto"/>
        </w:rPr>
        <w:t>. Our certificate of incorporation provides that our stockholders may not act by written consent and may only act at duly</w:t>
      </w:r>
      <w:r>
        <w:rPr>
          <w:rFonts w:ascii="Arial" w:cs="Arial" w:eastAsia="Arial" w:hAnsi="Arial"/>
          <w:sz w:val="18"/>
          <w:szCs w:val="18"/>
          <w:i w:val="1"/>
          <w:iCs w:val="1"/>
          <w:color w:val="auto"/>
        </w:rPr>
        <w:t xml:space="preserve"> </w:t>
      </w:r>
      <w:r>
        <w:rPr>
          <w:rFonts w:ascii="Arial" w:cs="Arial" w:eastAsia="Arial" w:hAnsi="Arial"/>
          <w:sz w:val="18"/>
          <w:szCs w:val="18"/>
          <w:color w:val="auto"/>
        </w:rPr>
        <w:t>called meetings of stockholders.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ActiveUS 178056837v.3</w:t>
      </w:r>
    </w:p>
    <w:p>
      <w:pPr>
        <w:sectPr>
          <w:pgSz w:w="11900" w:h="16838" w:orient="portrait"/>
          <w:cols w:equalWidth="0" w:num="1">
            <w:col w:w="11380"/>
          </w:cols>
          <w:pgMar w:left="240" w:top="774" w:right="279" w:bottom="1440" w:gutter="0" w:footer="0" w:header="0"/>
        </w:sectPr>
      </w:pPr>
    </w:p>
    <w:bookmarkStart w:id="137" w:name="page138"/>
    <w:bookmarkEnd w:id="137"/>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488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852295" cy="48895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1F1F1F"/>
        </w:rPr>
        <w:t>September 17, 2019</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1F1F1F"/>
        </w:rPr>
        <w:t>Jonathan Biller</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1F1F1F"/>
        </w:rPr>
        <w:t>Dear Jonathan,</w:t>
      </w:r>
    </w:p>
    <w:p>
      <w:pPr>
        <w:spacing w:after="0" w:line="25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1F1F1F"/>
        </w:rPr>
        <w:t>I am pleased to extend to you a contingent offer for the position of Chief Legal Officer at Agios Pharmaceuticals, Inc. (the "Company"), reporting to me. Your employment will commence on the date that is the later of: (1) the sixth business day after your last day of employment at your current employer or (2) November 11, 2019. You will receive a semi-monthly salary of $20,833.34 which is equivalent to $500,000.16 annually. Agios will provide relocation assistance for your move to the Boston area covering reasonable relocation costs which includes $5,000 per month in housing for 9 months following your start date. In addition, you will receive a one-time payment in the amount of $100,000.00 subject to legally required tax withholdings. This payment will be made as part of the normal semi-monthly payroll after 30 days of employment. If you leave the company within 18 months you will be required to repay the full amount of the one-time payment as well as the amount covered for relocation assistance.</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1F1F1F"/>
        </w:rPr>
        <w:t>You will be eligible for our annual Bonus and Equity Programs. If the company meets or exceeds its annual goals, a pool will be established for employees, which will be subject to approval by the Board of Directors. This pool will be allocated according to level and your individual performance. Your bonus payment and equity grant will be pro-rated based on the amount of time you worked at Agios in the prior calendar year and you must be employed by Agios at the time of payment/grant in order to receive them. Your target bonus is 45% of your base compensation. Since you are joining Agios after September 30, 2019, you will not be eligible to participate in the 2019 plan year. You will be eligible to participate in the 2020 plan year, which begins on January 1, 2020.</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1F1F1F"/>
        </w:rPr>
        <w:t>Subject to approval by the Board of Directors or its designated representative, on your start date (the "Grant Date"), you will be granted: (i) stock options to purchase shares of the company's Common stock (the "Options") with a Black-Scholes value of$2.025 million, based on the closing price of the Company's common stock on the Grant Date (the "Closing Price"); (ii) a number of restricted stock units (the "RSUs"), which the number shall be determined by dividing $675,000 by the Closing Price; and (iii) a number of performance share units (the "PSUs"), which number shall be determined by dividing $1.0 million by the Closing Price. The Options will have an exercise price per share equal to the Closing Price and will become exercisable as to 25% of the underlying shares on the first anniversary of the Grant Date and the remaining shares will vest and become exercisable monthly thereafter until the fourth anniversary of the Grant Date. Each RSU shall entitle you to receive one share of the Company's common stock for each RSU that vests. One third of the RSUs shall vest on each of the first, second and third anniversaries of the Grant Date. The PSUs give you the opportunity to earn full value shares of Agios stock upon achievement against any or all of the performance goals outlined, with each PSU entitling you to receive one share of the Company's common stock for each PSU that vests. Achievement against each goal will be evaluated</w:t>
      </w:r>
    </w:p>
    <w:p>
      <w:pPr>
        <w:spacing w:after="0" w:line="400" w:lineRule="exact"/>
        <w:rPr>
          <w:sz w:val="20"/>
          <w:szCs w:val="20"/>
          <w:color w:val="auto"/>
        </w:rPr>
      </w:pPr>
    </w:p>
    <w:p>
      <w:pPr>
        <w:ind w:left="3820"/>
        <w:spacing w:after="0"/>
        <w:rPr>
          <w:sz w:val="20"/>
          <w:szCs w:val="20"/>
          <w:color w:val="auto"/>
        </w:rPr>
      </w:pPr>
      <w:r>
        <w:rPr>
          <w:rFonts w:ascii="Arial" w:cs="Arial" w:eastAsia="Arial" w:hAnsi="Arial"/>
          <w:sz w:val="18"/>
          <w:szCs w:val="18"/>
          <w:color w:val="404040"/>
        </w:rPr>
        <w:t xml:space="preserve">88 Sidney Street </w:t>
      </w:r>
      <w:r>
        <w:rPr>
          <w:rFonts w:ascii="Arial" w:cs="Arial" w:eastAsia="Arial" w:hAnsi="Arial"/>
          <w:sz w:val="14"/>
          <w:szCs w:val="14"/>
          <w:b w:val="1"/>
          <w:bCs w:val="1"/>
          <w:color w:val="0070C0"/>
        </w:rPr>
        <w:t>●</w:t>
      </w:r>
      <w:r>
        <w:rPr>
          <w:rFonts w:ascii="Arial" w:cs="Arial" w:eastAsia="Arial" w:hAnsi="Arial"/>
          <w:sz w:val="18"/>
          <w:szCs w:val="18"/>
          <w:color w:val="404040"/>
        </w:rPr>
        <w:t xml:space="preserve"> Cambridge, MA 02139</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404040"/>
        </w:rPr>
        <w:t xml:space="preserve">Main: 617-649-8600 </w:t>
      </w:r>
      <w:r>
        <w:rPr>
          <w:rFonts w:ascii="Arial" w:cs="Arial" w:eastAsia="Arial" w:hAnsi="Arial"/>
          <w:sz w:val="14"/>
          <w:szCs w:val="14"/>
          <w:b w:val="1"/>
          <w:bCs w:val="1"/>
          <w:color w:val="0070C0"/>
        </w:rPr>
        <w:t>●</w:t>
      </w:r>
      <w:r>
        <w:rPr>
          <w:rFonts w:ascii="Arial" w:cs="Arial" w:eastAsia="Arial" w:hAnsi="Arial"/>
          <w:sz w:val="18"/>
          <w:szCs w:val="18"/>
          <w:color w:val="404040"/>
        </w:rPr>
        <w:t xml:space="preserve"> Fax: 617-649-8618</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0070C0"/>
        </w:rPr>
        <w:t>www. agios.com</w:t>
      </w:r>
    </w:p>
    <w:p>
      <w:pPr>
        <w:sectPr>
          <w:pgSz w:w="11900" w:h="16838" w:orient="portrait"/>
          <w:cols w:equalWidth="0" w:num="1">
            <w:col w:w="10920"/>
          </w:cols>
          <w:pgMar w:left="620" w:top="1440" w:right="359" w:bottom="1440" w:gutter="0" w:footer="0" w:header="0"/>
        </w:sectPr>
      </w:pPr>
    </w:p>
    <w:bookmarkStart w:id="138" w:name="page139"/>
    <w:bookmarkEnd w:id="138"/>
    <w:p>
      <w:pPr>
        <w:jc w:val="both"/>
        <w:ind w:right="40"/>
        <w:spacing w:after="0" w:line="314" w:lineRule="auto"/>
        <w:rPr>
          <w:sz w:val="20"/>
          <w:szCs w:val="20"/>
          <w:color w:val="auto"/>
        </w:rPr>
      </w:pPr>
      <w:r>
        <w:rPr>
          <w:rFonts w:ascii="Arial" w:cs="Arial" w:eastAsia="Arial" w:hAnsi="Arial"/>
          <w:sz w:val="18"/>
          <w:szCs w:val="18"/>
          <w:color w:val="1F1F1F"/>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488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852295" cy="488950"/>
                    </a:xfrm>
                    <a:prstGeom prst="rect">
                      <a:avLst/>
                    </a:prstGeom>
                    <a:noFill/>
                  </pic:spPr>
                </pic:pic>
              </a:graphicData>
            </a:graphic>
          </wp:anchor>
        </w:drawing>
        <w:t>independently by the Compensation Committee of the Board of Directors. Upon confirmed achievement, you will receive 100% of the target share units corresponding to the specific goal as outlined. The opportunity to achieve all of these milestones runs through the end of 2022, at which time, any unearned shares will be forfeited. The specific performance milestones for the PSUs will be the same as those contained in 2019 PSU grants to the Company's executive officers. The Option, RSUs, and PSUs will be subject to the terms and conditions of the Company's 2013 Stock Incentive Plan (the "Plan") and the applicable award agreement.</w:t>
      </w:r>
    </w:p>
    <w:p>
      <w:pPr>
        <w:spacing w:after="0" w:line="186" w:lineRule="exact"/>
        <w:rPr>
          <w:sz w:val="20"/>
          <w:szCs w:val="20"/>
          <w:color w:val="auto"/>
        </w:rPr>
      </w:pPr>
    </w:p>
    <w:p>
      <w:pPr>
        <w:jc w:val="both"/>
        <w:ind w:left="40"/>
        <w:spacing w:after="0" w:line="262" w:lineRule="auto"/>
        <w:rPr>
          <w:sz w:val="20"/>
          <w:szCs w:val="20"/>
          <w:color w:val="auto"/>
        </w:rPr>
      </w:pPr>
      <w:r>
        <w:rPr>
          <w:rFonts w:ascii="Arial" w:cs="Arial" w:eastAsia="Arial" w:hAnsi="Arial"/>
          <w:sz w:val="21"/>
          <w:szCs w:val="21"/>
          <w:color w:val="1F1F1F"/>
        </w:rPr>
        <w:t>You will be eligible to participate in all of the company's benefits plans, which include Medical and Dental Insurance Programs, Flexible Spending Program for medical and daycare expenses, Life Insurance, AD&amp;D, and Short and Long Term Disability Plans, and 401(k)</w:t>
      </w:r>
      <w:r>
        <w:rPr>
          <w:rFonts w:ascii="Arial" w:cs="Arial" w:eastAsia="Arial" w:hAnsi="Arial"/>
          <w:sz w:val="21"/>
          <w:szCs w:val="21"/>
          <w:color w:val="4D4D4D"/>
        </w:rPr>
        <w:t>.</w:t>
      </w:r>
      <w:r>
        <w:rPr>
          <w:rFonts w:ascii="Arial" w:cs="Arial" w:eastAsia="Arial" w:hAnsi="Arial"/>
          <w:sz w:val="21"/>
          <w:szCs w:val="21"/>
          <w:color w:val="1F1F1F"/>
        </w:rPr>
        <w:t xml:space="preserve"> The Company provides a discretionary time off policy and 11 paid holidays annually in accordance with the company holiday schedule.</w:t>
      </w:r>
    </w:p>
    <w:p>
      <w:pPr>
        <w:spacing w:after="0" w:line="215" w:lineRule="exact"/>
        <w:rPr>
          <w:sz w:val="20"/>
          <w:szCs w:val="20"/>
          <w:color w:val="auto"/>
        </w:rPr>
      </w:pPr>
    </w:p>
    <w:p>
      <w:pPr>
        <w:ind w:left="40" w:right="60"/>
        <w:spacing w:after="0" w:line="277" w:lineRule="auto"/>
        <w:rPr>
          <w:sz w:val="20"/>
          <w:szCs w:val="20"/>
          <w:color w:val="auto"/>
        </w:rPr>
      </w:pPr>
      <w:r>
        <w:rPr>
          <w:rFonts w:ascii="Arial" w:cs="Arial" w:eastAsia="Arial" w:hAnsi="Arial"/>
          <w:sz w:val="21"/>
          <w:szCs w:val="21"/>
          <w:color w:val="1F1F1F"/>
        </w:rPr>
        <w:t>You are also eligible to receive severance benefits under our Severance Benefits Plan, effective April 22, 2016 (the "Severance Benefits Plan") for a Covered Termination as defined in the Severance Benefits Plan.</w:t>
      </w:r>
    </w:p>
    <w:p>
      <w:pPr>
        <w:spacing w:after="0" w:line="226" w:lineRule="exact"/>
        <w:rPr>
          <w:sz w:val="20"/>
          <w:szCs w:val="20"/>
          <w:color w:val="auto"/>
        </w:rPr>
      </w:pPr>
    </w:p>
    <w:p>
      <w:pPr>
        <w:jc w:val="both"/>
        <w:ind w:left="40"/>
        <w:spacing w:after="0" w:line="262" w:lineRule="auto"/>
        <w:rPr>
          <w:sz w:val="20"/>
          <w:szCs w:val="20"/>
          <w:color w:val="auto"/>
        </w:rPr>
      </w:pPr>
      <w:r>
        <w:rPr>
          <w:rFonts w:ascii="Arial" w:cs="Arial" w:eastAsia="Arial" w:hAnsi="Arial"/>
          <w:sz w:val="21"/>
          <w:szCs w:val="21"/>
          <w:color w:val="1F1F1F"/>
        </w:rPr>
        <w:t>In the initial recruitment process you were advised that your acceptance of this position is with the understanding that the offer of employment is contingent upon successful completion of a background investigation. We will contact you as soon as the background check process has been completed. At that time, assuming successful completion of this process, we can determine the date when your employment will begin.</w:t>
      </w:r>
    </w:p>
    <w:p>
      <w:pPr>
        <w:spacing w:after="0" w:line="215" w:lineRule="exact"/>
        <w:rPr>
          <w:sz w:val="20"/>
          <w:szCs w:val="20"/>
          <w:color w:val="auto"/>
        </w:rPr>
      </w:pPr>
    </w:p>
    <w:p>
      <w:pPr>
        <w:jc w:val="both"/>
        <w:ind w:right="40"/>
        <w:spacing w:after="0" w:line="276" w:lineRule="auto"/>
        <w:rPr>
          <w:sz w:val="20"/>
          <w:szCs w:val="20"/>
          <w:color w:val="auto"/>
        </w:rPr>
      </w:pPr>
      <w:r>
        <w:rPr>
          <w:rFonts w:ascii="Arial" w:cs="Arial" w:eastAsia="Arial" w:hAnsi="Arial"/>
          <w:sz w:val="20"/>
          <w:szCs w:val="20"/>
          <w:color w:val="1F1F1F"/>
        </w:rPr>
        <w:t>The offer of employment is also contingent upon your signing the company's standard Forms of Agreement Regarding Inventions, Confidentiality and Non-Competition (Copy attached) and 1-9 Employment Verification Form. You will be required to submit documentation that establishes identity and employment eligibility in accordance with the US Immigration and Naturalization requirements</w:t>
      </w:r>
      <w:r>
        <w:rPr>
          <w:rFonts w:ascii="Arial" w:cs="Arial" w:eastAsia="Arial" w:hAnsi="Arial"/>
          <w:sz w:val="20"/>
          <w:szCs w:val="20"/>
          <w:color w:val="4D4D4D"/>
        </w:rPr>
        <w:t>.</w:t>
      </w:r>
      <w:r>
        <w:rPr>
          <w:rFonts w:ascii="Arial" w:cs="Arial" w:eastAsia="Arial" w:hAnsi="Arial"/>
          <w:sz w:val="20"/>
          <w:szCs w:val="20"/>
          <w:color w:val="1F1F1F"/>
        </w:rPr>
        <w:t xml:space="preserve"> If there are any other agreements of any type that you are aware of which may impact or limit your ability to perform your job at Agios Pharmaceuticals, please let us know as soon as possible.</w:t>
      </w:r>
    </w:p>
    <w:p>
      <w:pPr>
        <w:spacing w:after="0" w:line="204" w:lineRule="exact"/>
        <w:rPr>
          <w:sz w:val="20"/>
          <w:szCs w:val="20"/>
          <w:color w:val="auto"/>
        </w:rPr>
      </w:pPr>
    </w:p>
    <w:p>
      <w:pPr>
        <w:jc w:val="both"/>
        <w:ind w:left="40"/>
        <w:spacing w:after="0" w:line="260" w:lineRule="auto"/>
        <w:rPr>
          <w:sz w:val="20"/>
          <w:szCs w:val="20"/>
          <w:color w:val="auto"/>
        </w:rPr>
      </w:pPr>
      <w:r>
        <w:rPr>
          <w:rFonts w:ascii="Arial" w:cs="Arial" w:eastAsia="Arial" w:hAnsi="Arial"/>
          <w:sz w:val="21"/>
          <w:szCs w:val="21"/>
          <w:color w:val="1F1F1F"/>
        </w:rPr>
        <w:t>This offer letter is not intended to create or constitute an employment agreement or contract between you and Agios Pharmaceuticals. It is also important for you to understand that Massachusetts is an "at will" employment state. This means that you will have the right to terminate your employment relationship with Agios Pharmaceuticals at any time for any reason. Similarly, Agios Pharmaceuticals will have the right to terminate its employment relationship with you at any time for any reason, except as prohibited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20"/>
        <w:spacing w:after="0"/>
        <w:rPr>
          <w:sz w:val="20"/>
          <w:szCs w:val="20"/>
          <w:color w:val="auto"/>
        </w:rPr>
      </w:pPr>
      <w:r>
        <w:rPr>
          <w:rFonts w:ascii="Arial" w:cs="Arial" w:eastAsia="Arial" w:hAnsi="Arial"/>
          <w:sz w:val="18"/>
          <w:szCs w:val="18"/>
          <w:color w:val="404040"/>
        </w:rPr>
        <w:t xml:space="preserve">88 Sidney Street </w:t>
      </w:r>
      <w:r>
        <w:rPr>
          <w:rFonts w:ascii="Arial" w:cs="Arial" w:eastAsia="Arial" w:hAnsi="Arial"/>
          <w:sz w:val="14"/>
          <w:szCs w:val="14"/>
          <w:b w:val="1"/>
          <w:bCs w:val="1"/>
          <w:color w:val="0070C0"/>
        </w:rPr>
        <w:t>●</w:t>
      </w:r>
      <w:r>
        <w:rPr>
          <w:rFonts w:ascii="Arial" w:cs="Arial" w:eastAsia="Arial" w:hAnsi="Arial"/>
          <w:sz w:val="18"/>
          <w:szCs w:val="18"/>
          <w:color w:val="404040"/>
        </w:rPr>
        <w:t xml:space="preserve"> Cambridge, MA 02139</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404040"/>
        </w:rPr>
        <w:t xml:space="preserve">Main: 617-649-8600 </w:t>
      </w:r>
      <w:r>
        <w:rPr>
          <w:rFonts w:ascii="Arial" w:cs="Arial" w:eastAsia="Arial" w:hAnsi="Arial"/>
          <w:sz w:val="14"/>
          <w:szCs w:val="14"/>
          <w:b w:val="1"/>
          <w:bCs w:val="1"/>
          <w:color w:val="0070C0"/>
        </w:rPr>
        <w:t>●</w:t>
      </w:r>
      <w:r>
        <w:rPr>
          <w:rFonts w:ascii="Arial" w:cs="Arial" w:eastAsia="Arial" w:hAnsi="Arial"/>
          <w:sz w:val="18"/>
          <w:szCs w:val="18"/>
          <w:color w:val="404040"/>
        </w:rPr>
        <w:t xml:space="preserve"> Fax: 617-649-8618</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0070C0"/>
        </w:rPr>
        <w:t>www. agios.com</w:t>
      </w:r>
    </w:p>
    <w:p>
      <w:pPr>
        <w:sectPr>
          <w:pgSz w:w="11900" w:h="16838" w:orient="portrait"/>
          <w:cols w:equalWidth="0" w:num="1">
            <w:col w:w="10960"/>
          </w:cols>
          <w:pgMar w:left="620" w:top="1436" w:right="31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488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852295" cy="4889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1C1C1C"/>
        </w:rPr>
        <w:t>I am very excited about having you join our team and I anticipate that you will make many important contributions to our Company and strategic mission. Please acknowledge your acceptance of this offer by returning a signed copy of this letter no later than Friday, September 26, 2019.</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1C1C1C"/>
        </w:rPr>
        <w:t>Best regards,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u w:val="single" w:color="auto"/>
          <w:color w:val="1C1C1C"/>
        </w:rPr>
        <w:t>/s/ Jacqualyn Fouse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1C1C1C"/>
        </w:rPr>
        <w:t>Jacqualyn Fouse, Ph.D. Chief Executive Officer Agios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1C1C1C"/>
        </w:rPr>
        <w:t>Pharmaceuticals, Inc</w:t>
      </w:r>
    </w:p>
    <w:p>
      <w:pPr>
        <w:spacing w:after="0" w:line="200" w:lineRule="exact"/>
        <w:rPr>
          <w:sz w:val="20"/>
          <w:szCs w:val="20"/>
          <w:color w:val="auto"/>
        </w:rPr>
      </w:pPr>
    </w:p>
    <w:p>
      <w:pPr>
        <w:spacing w:after="0" w:line="270" w:lineRule="exact"/>
        <w:rPr>
          <w:sz w:val="20"/>
          <w:szCs w:val="20"/>
          <w:color w:val="auto"/>
        </w:rPr>
      </w:pPr>
    </w:p>
    <w:p>
      <w:pPr>
        <w:jc w:val="both"/>
        <w:ind w:firstLine="41"/>
        <w:spacing w:after="0" w:line="264" w:lineRule="auto"/>
        <w:rPr>
          <w:sz w:val="20"/>
          <w:szCs w:val="20"/>
          <w:color w:val="auto"/>
        </w:rPr>
      </w:pPr>
      <w:r>
        <w:rPr>
          <w:rFonts w:ascii="Arial" w:cs="Arial" w:eastAsia="Arial" w:hAnsi="Arial"/>
          <w:sz w:val="21"/>
          <w:szCs w:val="21"/>
          <w:color w:val="1C1C1C"/>
        </w:rPr>
        <w:t>I accept this contingent offer of employment with Agios Pharmaceuticals, Inc., subject to successful completion of my background investigation</w:t>
      </w:r>
      <w:r>
        <w:rPr>
          <w:rFonts w:ascii="Arial" w:cs="Arial" w:eastAsia="Arial" w:hAnsi="Arial"/>
          <w:sz w:val="21"/>
          <w:szCs w:val="21"/>
          <w:color w:val="343636"/>
        </w:rPr>
        <w:t>.</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p>
    <w:p>
      <w:pPr>
        <w:spacing w:after="0"/>
        <w:tabs>
          <w:tab w:leader="none" w:pos="1780" w:val="left"/>
        </w:tabs>
        <w:rPr>
          <w:sz w:val="20"/>
          <w:szCs w:val="20"/>
          <w:color w:val="auto"/>
        </w:rPr>
      </w:pPr>
      <w:r>
        <w:rPr>
          <w:rFonts w:ascii="Arial" w:cs="Arial" w:eastAsia="Arial" w:hAnsi="Arial"/>
          <w:sz w:val="21"/>
          <w:szCs w:val="21"/>
          <w:u w:val="single" w:color="auto"/>
          <w:color w:val="auto"/>
        </w:rPr>
        <w:t>/s/ Jonathan Biller</w:t>
      </w:r>
      <w:r>
        <w:rPr>
          <w:sz w:val="20"/>
          <w:szCs w:val="20"/>
          <w:color w:val="auto"/>
        </w:rPr>
        <w:tab/>
      </w:r>
      <w:r>
        <w:rPr>
          <w:rFonts w:ascii="Arial" w:cs="Arial" w:eastAsia="Arial" w:hAnsi="Arial"/>
          <w:sz w:val="19"/>
          <w:szCs w:val="19"/>
          <w:u w:val="single" w:color="auto"/>
          <w:color w:val="auto"/>
        </w:rPr>
        <w:t>9/18/19</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780"/>
        <w:spacing w:after="0"/>
        <w:rPr>
          <w:sz w:val="20"/>
          <w:szCs w:val="20"/>
          <w:color w:val="auto"/>
        </w:rPr>
      </w:pPr>
      <w:r>
        <w:rPr>
          <w:rFonts w:ascii="Arial" w:cs="Arial" w:eastAsia="Arial" w:hAnsi="Arial"/>
          <w:sz w:val="18"/>
          <w:szCs w:val="18"/>
          <w:color w:val="404040"/>
        </w:rPr>
        <w:t xml:space="preserve">88 Sidney Street </w:t>
      </w:r>
      <w:r>
        <w:rPr>
          <w:rFonts w:ascii="Arial" w:cs="Arial" w:eastAsia="Arial" w:hAnsi="Arial"/>
          <w:sz w:val="14"/>
          <w:szCs w:val="14"/>
          <w:b w:val="1"/>
          <w:bCs w:val="1"/>
          <w:color w:val="0070C0"/>
        </w:rPr>
        <w:t>●</w:t>
      </w:r>
      <w:r>
        <w:rPr>
          <w:rFonts w:ascii="Arial" w:cs="Arial" w:eastAsia="Arial" w:hAnsi="Arial"/>
          <w:sz w:val="18"/>
          <w:szCs w:val="18"/>
          <w:color w:val="404040"/>
        </w:rPr>
        <w:t xml:space="preserve"> Cambridge, MA 02139</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404040"/>
        </w:rPr>
        <w:t xml:space="preserve">Main: 617-649-8600 </w:t>
      </w:r>
      <w:r>
        <w:rPr>
          <w:rFonts w:ascii="Arial" w:cs="Arial" w:eastAsia="Arial" w:hAnsi="Arial"/>
          <w:sz w:val="14"/>
          <w:szCs w:val="14"/>
          <w:b w:val="1"/>
          <w:bCs w:val="1"/>
          <w:color w:val="0070C0"/>
        </w:rPr>
        <w:t>●</w:t>
      </w:r>
      <w:r>
        <w:rPr>
          <w:rFonts w:ascii="Arial" w:cs="Arial" w:eastAsia="Arial" w:hAnsi="Arial"/>
          <w:sz w:val="18"/>
          <w:szCs w:val="18"/>
          <w:color w:val="404040"/>
        </w:rPr>
        <w:t xml:space="preserve"> Fax: 617-649-8618</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0070C0"/>
        </w:rPr>
        <w:t>www. agios.com</w:t>
      </w:r>
    </w:p>
    <w:p>
      <w:pPr>
        <w:sectPr>
          <w:pgSz w:w="11900" w:h="16838" w:orient="portrait"/>
          <w:cols w:equalWidth="0" w:num="1">
            <w:col w:w="10880"/>
          </w:cols>
          <w:pgMar w:left="660" w:top="1440" w:right="3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780" w:type="dxa"/>
            <w:vAlign w:val="bottom"/>
            <w:gridSpan w:val="3"/>
          </w:tcPr>
          <w:p>
            <w:pPr>
              <w:ind w:left="1460"/>
              <w:spacing w:after="0"/>
              <w:rPr>
                <w:sz w:val="20"/>
                <w:szCs w:val="20"/>
                <w:color w:val="auto"/>
              </w:rPr>
            </w:pPr>
            <w:r>
              <w:rPr>
                <w:rFonts w:ascii="Arial" w:cs="Arial" w:eastAsia="Arial" w:hAnsi="Arial"/>
                <w:sz w:val="18"/>
                <w:szCs w:val="18"/>
                <w:b w:val="1"/>
                <w:bCs w:val="1"/>
                <w:color w:val="auto"/>
              </w:rPr>
              <w:t>SUBSIDIARIES</w:t>
            </w:r>
          </w:p>
        </w:tc>
      </w:tr>
      <w:tr>
        <w:trPr>
          <w:trHeight w:val="486"/>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 Incorporation or Organization</w:t>
            </w:r>
          </w:p>
        </w:tc>
      </w:tr>
      <w:tr>
        <w:trPr>
          <w:trHeight w:val="27"/>
        </w:trPr>
        <w:tc>
          <w:tcPr>
            <w:tcW w:w="3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Agios Securities Corporation</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Agios Limited</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Agios International Sarl</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Agios Netherlands B.V.</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Agios Germany GmbH</w:t>
            </w: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380"/>
          </w:cols>
          <w:pgMar w:left="280" w:top="89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333-229669, 333-223031, 333-216106, 333-209755, 333-201796, 333- 193802, and 333-190101) and Form S-3 (No. 333-221960) of Agios Pharmaceuticals, Inc. of our report dated February 19, 2020 relating to the financial statements and the effectiveness of internal control over financial reporting, which appears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89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Jacqualyn Fouse, certify that:</w:t>
      </w:r>
    </w:p>
    <w:p>
      <w:pPr>
        <w:spacing w:after="0" w:line="225" w:lineRule="exact"/>
        <w:rPr>
          <w:sz w:val="20"/>
          <w:szCs w:val="20"/>
          <w:color w:val="auto"/>
        </w:rPr>
      </w:pPr>
    </w:p>
    <w:p>
      <w:pPr>
        <w:ind w:left="840" w:hanging="184"/>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Agios Pharmaceuticals,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tabs>
          <w:tab w:leader="none" w:pos="682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6"/>
          <w:szCs w:val="16"/>
          <w:color w:val="auto"/>
        </w:rPr>
        <w:t>/s/ Jacqualyn A. Fouse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8898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Jacqualyn A. Fouse, Ph.D</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Hirsch, certify that:</w:t>
      </w:r>
    </w:p>
    <w:p>
      <w:pPr>
        <w:spacing w:after="0" w:line="225" w:lineRule="exact"/>
        <w:rPr>
          <w:sz w:val="20"/>
          <w:szCs w:val="20"/>
          <w:color w:val="auto"/>
        </w:rPr>
      </w:pPr>
    </w:p>
    <w:p>
      <w:pPr>
        <w:ind w:left="840" w:hanging="184"/>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Agios Pharmaceuticals, Inc.;</w:t>
      </w:r>
    </w:p>
    <w:p>
      <w:pPr>
        <w:spacing w:after="0" w:line="225" w:lineRule="exact"/>
        <w:rPr>
          <w:rFonts w:ascii="Arial" w:cs="Arial" w:eastAsia="Arial" w:hAnsi="Arial"/>
          <w:sz w:val="18"/>
          <w:szCs w:val="18"/>
          <w:color w:val="auto"/>
        </w:rPr>
      </w:pPr>
    </w:p>
    <w:p>
      <w:pPr>
        <w:ind w:left="660" w:right="120" w:hanging="4"/>
        <w:spacing w:after="0" w:line="264" w:lineRule="auto"/>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80" w:hanging="4"/>
        <w:spacing w:after="0" w:line="308"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4"/>
        <w:spacing w:after="0" w:line="264" w:lineRule="auto"/>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
        <w:spacing w:after="0" w:line="308"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tabs>
          <w:tab w:leader="none" w:pos="682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6"/>
          <w:szCs w:val="16"/>
          <w:color w:val="auto"/>
        </w:rPr>
        <w:t>/s/ Andrew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8898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Andrew Hirsch</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this Annual Report on Form 10-K of Agios Pharmaceuticals, Inc. (the “Company”) for the year ended December 31, 2019, as filed with the Securities and Exchange Commission on the date hereof (the “Report”), the undersigned, Jacqualyn Fouse, Chief Executive Officer of the Company, hereby certifies, pursuant to 18 U.S.C. Section 1350, that, to her knowledge on the date hereof:</w:t>
      </w:r>
    </w:p>
    <w:p>
      <w:pPr>
        <w:spacing w:after="0" w:line="181" w:lineRule="exact"/>
        <w:rPr>
          <w:sz w:val="20"/>
          <w:szCs w:val="20"/>
          <w:color w:val="auto"/>
        </w:rPr>
      </w:pPr>
    </w:p>
    <w:p>
      <w:pPr>
        <w:ind w:left="920" w:hanging="264"/>
        <w:spacing w:after="0"/>
        <w:tabs>
          <w:tab w:leader="none" w:pos="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20"/>
        <w:spacing w:after="0"/>
        <w:tabs>
          <w:tab w:leader="none" w:pos="682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6"/>
          <w:szCs w:val="16"/>
          <w:color w:val="auto"/>
        </w:rPr>
        <w:t>/s/ Jacqualyn A. Fouse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8898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Jacqualyn A. Fouse, Ph.D.</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this Annual Report on Form 10-K of Agios Pharmaceuticals, Inc. (the “Company”) for the year ended December 31, 2019, as filed with the Securities and Exchange Commission on the date hereof (the “Report”), the undersigned, Andrew Hirsch, Chief Financial Officer of the Company, hereby certifies, pursuant to 18 U.S.C. Section 1350, that, to his knowledge on the date hereof:</w:t>
      </w:r>
    </w:p>
    <w:p>
      <w:pPr>
        <w:spacing w:after="0" w:line="181" w:lineRule="exact"/>
        <w:rPr>
          <w:sz w:val="20"/>
          <w:szCs w:val="20"/>
          <w:color w:val="auto"/>
        </w:rPr>
      </w:pPr>
    </w:p>
    <w:p>
      <w:pPr>
        <w:ind w:left="920" w:hanging="264"/>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20"/>
        <w:spacing w:after="0"/>
        <w:tabs>
          <w:tab w:leader="none" w:pos="682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6"/>
          <w:szCs w:val="16"/>
          <w:color w:val="auto"/>
        </w:rPr>
        <w:t>/s/ Andrew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8898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Andrew Hirsch</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lowerRoman"/>
      <w:start w:val="3"/>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lowerLetter"/>
      <w:start w:val="2"/>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3"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111" Type="http://schemas.openxmlformats.org/officeDocument/2006/relationships/hyperlink" Target="http://www.sec.gov/Archives/edgar/data/1439222/000119312513307909/d574969dex31.htm" TargetMode="External"/><Relationship Id="rId112" Type="http://schemas.openxmlformats.org/officeDocument/2006/relationships/hyperlink" Target="http://www.sec.gov/Archives/edgar/data/1439222/000119312518353307/d653738dex31.htm" TargetMode="External"/><Relationship Id="rId113" Type="http://schemas.openxmlformats.org/officeDocument/2006/relationships/hyperlink" Target="http://www.sec.gov/Archives/edgar/data/1439222/000119312513269075/d538215dex41.htm" TargetMode="External"/><Relationship Id="rId114" Type="http://schemas.openxmlformats.org/officeDocument/2006/relationships/hyperlink" Target="http://www.sec.gov/Archives/edgar/data/1439222/000119312513253449/d538215dex42.htm" TargetMode="External"/><Relationship Id="rId115" Type="http://schemas.openxmlformats.org/officeDocument/2006/relationships/hyperlink" Target="http://www.sec.gov/Archives/edgar/data/1439222/000119312513253449/d538215dex101.htm" TargetMode="External"/><Relationship Id="rId116" Type="http://schemas.openxmlformats.org/officeDocument/2006/relationships/hyperlink" Target="http://www.sec.gov/Archives/edgar/data/1439222/000119312513253449/d538215dex102.htm" TargetMode="External"/><Relationship Id="rId117" Type="http://schemas.openxmlformats.org/officeDocument/2006/relationships/hyperlink" Target="http://www.sec.gov/Archives/edgar/data/1439222/000119312513253449/d538215dex103.htm" TargetMode="External"/><Relationship Id="rId118" Type="http://schemas.openxmlformats.org/officeDocument/2006/relationships/hyperlink" Target="http://www.sec.gov/Archives/edgar/data/1439222/000119312513269075/d538215dex104.htm" TargetMode="External"/><Relationship Id="rId119" Type="http://schemas.openxmlformats.org/officeDocument/2006/relationships/hyperlink" Target="http://www.sec.gov/Archives/edgar/data/1439222/000119312513269075/d538215dex105.htm" TargetMode="External"/><Relationship Id="rId120" Type="http://schemas.openxmlformats.org/officeDocument/2006/relationships/hyperlink" Target="http://www.sec.gov/Archives/edgar/data/1439222/000119312513269075/d538215dex106.htm" TargetMode="External"/><Relationship Id="rId121" Type="http://schemas.openxmlformats.org/officeDocument/2006/relationships/hyperlink" Target="http://www.sec.gov/Archives/edgar/data/1439222/000119312513269075/d538215dex107.htm" TargetMode="External"/><Relationship Id="rId122" Type="http://schemas.openxmlformats.org/officeDocument/2006/relationships/hyperlink" Target="http://www.sec.gov/Archives/edgar/data/1439222/000119312513288239/d538215dex1010.htm" TargetMode="External"/><Relationship Id="rId124" Type="http://schemas.openxmlformats.org/officeDocument/2006/relationships/hyperlink" Target="http://www.sec.gov/Archives/edgar/data/1439222/000119312513288239/d538215dex1012.htm" TargetMode="External"/><Relationship Id="rId125" Type="http://schemas.openxmlformats.org/officeDocument/2006/relationships/hyperlink" Target="http://www.sec.gov/Archives/edgar/data/1439222/000119312516481973/d113932dex1013.htm" TargetMode="External"/><Relationship Id="rId126" Type="http://schemas.openxmlformats.org/officeDocument/2006/relationships/hyperlink" Target="http://www.sec.gov/Archives/edgar/data/1439222/000119312513291902/d538215dex1014.htm" TargetMode="External"/><Relationship Id="rId127" Type="http://schemas.openxmlformats.org/officeDocument/2006/relationships/hyperlink" Target="http://www.sec.gov/Archives/edgar/data/1439222/000119312515060046/d854960dex1015.htm" TargetMode="External"/><Relationship Id="rId128" Type="http://schemas.openxmlformats.org/officeDocument/2006/relationships/hyperlink" Target="http://www.sec.gov/Archives/edgar/data/1439222/000119312513291902/d538215dex1015.htm" TargetMode="External"/><Relationship Id="rId129" Type="http://schemas.openxmlformats.org/officeDocument/2006/relationships/hyperlink" Target="http://www.sec.gov/Archives/edgar/data/1439222/000119312514347187/d791663dex101.htm" TargetMode="External"/><Relationship Id="rId130" Type="http://schemas.openxmlformats.org/officeDocument/2006/relationships/hyperlink" Target="http://www.sec.gov/Archives/edgar/data/1439222/000119312514427159/d827911dex101.htm" TargetMode="External"/><Relationship Id="rId131" Type="http://schemas.openxmlformats.org/officeDocument/2006/relationships/hyperlink" Target="http://www.sec.gov/Archives/edgar/data/1439222/000119312515181968/d917154dex101.htm" TargetMode="External"/><Relationship Id="rId132" Type="http://schemas.openxmlformats.org/officeDocument/2006/relationships/hyperlink" Target="http://www.sec.gov/Archives/edgar/data/1439222/000119312515261146/d73570dex101.htm" TargetMode="External"/><Relationship Id="rId133" Type="http://schemas.openxmlformats.org/officeDocument/2006/relationships/hyperlink" Target="http://www.sec.gov/Archives/edgar/data/1439222/000119312515283076/d85906dex101.htm" TargetMode="External"/><Relationship Id="rId134" Type="http://schemas.openxmlformats.org/officeDocument/2006/relationships/hyperlink" Target="http://www.sec.gov/Archives/edgar/data/1439222/000119312515283076/d85906dex102.htm" TargetMode="External"/><Relationship Id="rId135" Type="http://schemas.openxmlformats.org/officeDocument/2006/relationships/hyperlink" Target="http://www.sec.gov/Archives/edgar/data/1439222/000119312516481973/d113932dex1025.htm" TargetMode="External"/><Relationship Id="rId136" Type="http://schemas.openxmlformats.org/officeDocument/2006/relationships/hyperlink" Target="http://www.sec.gov/Archives/edgar/data/1439222/000119312516552026/d94888dex101.htm" TargetMode="External"/><Relationship Id="rId137" Type="http://schemas.openxmlformats.org/officeDocument/2006/relationships/hyperlink" Target="http://www.sec.gov/Archives/edgar/data/1439222/000119312516675231/d85594dex101.htm" TargetMode="External"/><Relationship Id="rId138" Type="http://schemas.openxmlformats.org/officeDocument/2006/relationships/hyperlink" Target="http://www.sec.gov/Archives/edgar/data/1439222/000119312516683118/d229097dex992.htm" TargetMode="External"/><Relationship Id="rId139" Type="http://schemas.openxmlformats.org/officeDocument/2006/relationships/hyperlink" Target="http://www.sec.gov/Archives/edgar/data/1439222/000119312517350678/d424503dex101.htm" TargetMode="External"/><Relationship Id="rId142" Type="http://schemas.openxmlformats.org/officeDocument/2006/relationships/hyperlink" Target="http://www.sec.gov/Archives/edgar/data/1439222/000119312517350678/d424503dex102.htm" TargetMode="External"/><Relationship Id="rId143" Type="http://schemas.openxmlformats.org/officeDocument/2006/relationships/hyperlink" Target="http://www.sec.gov/Archives/edgar/data/1439222/000119312518116870/d570104dex101.htm" TargetMode="External"/><Relationship Id="rId144" Type="http://schemas.openxmlformats.org/officeDocument/2006/relationships/hyperlink" Target="http://www.sec.gov/Archives/edgar/data/1439222/000143922218000009/exhibit10-1x03x31x2018.htm" TargetMode="External"/><Relationship Id="rId145" Type="http://schemas.openxmlformats.org/officeDocument/2006/relationships/hyperlink" Target="http://www.sec.gov/Archives/edgar/data/1439222/000143922218000014/agiosag-120chinalicens.htm" TargetMode="External"/><Relationship Id="rId146" Type="http://schemas.openxmlformats.org/officeDocument/2006/relationships/hyperlink" Target="http://www.sec.gov/Archives/edgar/data/1439222/000143922218000018/exhibit10-1x09x30x2018.htm" TargetMode="External"/><Relationship Id="rId147" Type="http://schemas.openxmlformats.org/officeDocument/2006/relationships/hyperlink" Target="http://www.sec.gov/Archives/edgar/data/1439222/000143922218000018/exhibit10-2x09x30x2018.htm" TargetMode="External"/><Relationship Id="rId148" Type="http://schemas.openxmlformats.org/officeDocument/2006/relationships/hyperlink" Target="http://www.sec.gov/Archives/edgar/data/1439222/000143922219000004/agio-ex1032x123118.htm" TargetMode="External"/><Relationship Id="rId149" Type="http://schemas.openxmlformats.org/officeDocument/2006/relationships/hyperlink" Target="http://www.sec.gov/Archives/edgar/data/1439222/000143922219000017/exhibit10-1x06x30x19.htm" TargetMode="External"/><Relationship Id="rId150" Type="http://schemas.openxmlformats.org/officeDocument/2006/relationships/hyperlink" Target="http://www.sec.gov/Archives/edgar/data/1439222/000143922219000017/exhibit10-2x06x30x19.htm" TargetMode="External"/><Relationship Id="rId151" Type="http://schemas.openxmlformats.org/officeDocument/2006/relationships/hyperlink" Target="http://www.sec.gov/Archives/edgar/data/1439222/000143922219000017/exhibit10-3x06x3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2020-02-19T16:10:58Z</dcterms:created>
  <dcterms:modified xsi:type="dcterms:W3CDTF">2020-02-19T16:10:58Z</dcterms:modified>
</cp:coreProperties>
</file>