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40" w:before="0" w:after="12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Commission File Number: 001-36014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36"/>
        </w:rPr>
      </w:pPr>
      <w:r>
        <w:rPr>
          <w:rFonts w:ascii="Times New Roman;serif" w:hAnsi="Times New Roman;serif"/>
          <w:b/>
          <w:color w:val="000000"/>
          <w:sz w:val="36"/>
        </w:rPr>
        <w:t>AGIOS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52" w:type="dxa"/>
        <w:jc w:val="left"/>
        <w:tblInd w:w="0" w:type="dxa"/>
        <w:tblLayout w:type="fixed"/>
        <w:tblCellMar>
          <w:top w:w="28" w:type="dxa"/>
          <w:left w:w="28" w:type="dxa"/>
          <w:bottom w:w="28" w:type="dxa"/>
          <w:right w:w="28" w:type="dxa"/>
        </w:tblCellMar>
      </w:tblPr>
      <w:tblGrid>
        <w:gridCol w:w="473"/>
        <w:gridCol w:w="416"/>
        <w:gridCol w:w="416"/>
        <w:gridCol w:w="416"/>
        <w:gridCol w:w="416"/>
        <w:gridCol w:w="416"/>
        <w:gridCol w:w="416"/>
        <w:gridCol w:w="416"/>
        <w:gridCol w:w="438"/>
        <w:gridCol w:w="447"/>
        <w:gridCol w:w="447"/>
        <w:gridCol w:w="635"/>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3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26-0662915</w:t>
            </w:r>
          </w:p>
        </w:tc>
      </w:tr>
      <w:tr>
        <w:trPr/>
        <w:tc>
          <w:tcPr>
            <w:tcW w:w="3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 Incorporation or Organization)</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 Identification No.)</w:t>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88 Sidney Street, Cambridge, Massachusetts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02139</w:t>
            </w:r>
          </w:p>
        </w:tc>
      </w:tr>
      <w:tr>
        <w:trPr/>
        <w:tc>
          <w:tcPr>
            <w:tcW w:w="3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(617) 649-8600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4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0" w:after="0"/>
        <w:jc w:val="left"/>
        <w:rPr/>
      </w:pPr>
      <w:r>
        <w:rPr>
          <w:rFonts w:ascii="Times New Roman;serif" w:hAnsi="Times New Roman;serif"/>
          <w:b w:val="false"/>
          <w:color w:val="000000"/>
          <w:sz w:val="20"/>
        </w:rPr>
        <w:t>Securities registered pursuant to Section 12(b) of the Act:</w:t>
      </w:r>
      <w:r>
        <w:rPr>
          <w:color w:val="000000"/>
        </w:rPr>
        <w:t xml:space="preserve"> </w:t>
      </w:r>
    </w:p>
    <w:tbl>
      <w:tblPr>
        <w:tblW w:w="9299" w:type="dxa"/>
        <w:jc w:val="left"/>
        <w:tblInd w:w="0" w:type="dxa"/>
        <w:tblLayout w:type="fixed"/>
        <w:tblCellMar>
          <w:top w:w="28" w:type="dxa"/>
          <w:left w:w="28" w:type="dxa"/>
          <w:bottom w:w="28" w:type="dxa"/>
          <w:right w:w="28" w:type="dxa"/>
        </w:tblCellMar>
      </w:tblPr>
      <w:tblGrid>
        <w:gridCol w:w="1377"/>
        <w:gridCol w:w="1209"/>
        <w:gridCol w:w="1224"/>
        <w:gridCol w:w="554"/>
        <w:gridCol w:w="554"/>
        <w:gridCol w:w="556"/>
        <w:gridCol w:w="1118"/>
        <w:gridCol w:w="1118"/>
        <w:gridCol w:w="1589"/>
      </w:tblGrid>
      <w:tr>
        <w:trPr/>
        <w:tc>
          <w:tcPr>
            <w:tcW w:w="137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81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16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AGIO</w:t>
            </w:r>
          </w:p>
        </w:tc>
        <w:tc>
          <w:tcPr>
            <w:tcW w:w="382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0" w:after="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6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4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38" w:type="dxa"/>
        <w:jc w:val="left"/>
        <w:tblInd w:w="0" w:type="dxa"/>
        <w:tblLayout w:type="fixed"/>
        <w:tblCellMar>
          <w:top w:w="28" w:type="dxa"/>
          <w:left w:w="28" w:type="dxa"/>
          <w:bottom w:w="28" w:type="dxa"/>
          <w:right w:w="28" w:type="dxa"/>
        </w:tblCellMar>
      </w:tblPr>
      <w:tblGrid>
        <w:gridCol w:w="695"/>
        <w:gridCol w:w="611"/>
        <w:gridCol w:w="613"/>
        <w:gridCol w:w="145"/>
        <w:gridCol w:w="145"/>
        <w:gridCol w:w="146"/>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lineRule="auto" w:line="288" w:before="0" w:after="14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14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Number of shares of the registrant’s Common Stock, $0.001 par value, outstanding on July 24, 2026: 59,701,882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Available Information about Agios Pharmaceuticals, Inc.</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Annual Reports on Form 10-K, Quarterly Reports on Form 10-Q, Current Reports on Form 8-K and any amendments to these reports filed or furnished pursuant to Section 13(a) or 15(d) of the Securities Exchange Act of 1934, as amended, are available free of charge on our website located at www.agios.com as soon as reasonably practicable after they are filed with or furnished to the Securities and Exchange Commission, or SEC. These reports are also available at the SEC’s website at www.sec.gov.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may also disclose information to the public concerning our business, products and product candidates and other items through a variety of disclosure channels in order to achieve broad, non-exclusionary distribution of information to the public, including press releases, SEC filings and public conference calls and webcasts. Some of the information distributed through these disclosure channels may be considered material information. Investors and others are encouraged to review the information we make public through our disclosure channels.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Agios plans to use its website (www.agios.com) as a distribution channel to announce and give notice of Agios’ upcoming events and presentations (including, but not limited to, presentations at medical or healthcare conferences). Such information, which may be deemed material, will be available on the “Investors” section of the Company’s website under the “Events &amp; Presentations” tab. Investors and others are encouraged to monitor the website and review such information Agios makes public through the website. In addition, you may sign up to automatically receive email alerts about Agios’ upcoming events and presentations (“Calendar Alerts”) by visiting the “Email Alerts” option under the “IR Resources” tab of the “Investors” section of the Company’s website and submitting your email address.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website, and the contents thereof, are not incorporated by reference into this Quarterly Report on Form 10-Q nor deemed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AGIOS PHARMACEUTICALS,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THREE AND SIX MONTHS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65"/>
        <w:gridCol w:w="485"/>
        <w:gridCol w:w="485"/>
        <w:gridCol w:w="2773"/>
        <w:gridCol w:w="2635"/>
        <w:gridCol w:w="2689"/>
        <w:gridCol w:w="167"/>
        <w:gridCol w:w="167"/>
        <w:gridCol w:w="239"/>
      </w:tblGrid>
      <w:tr>
        <w:trPr/>
        <w:tc>
          <w:tcPr>
            <w:tcW w:w="56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rFonts w:ascii="Times New Roman;serif" w:hAnsi="Times New Roman;serif"/>
                <w:b/>
                <w:color w:val="000000"/>
                <w:sz w:val="20"/>
              </w:rPr>
            </w:pPr>
            <w:r>
              <w:rPr>
                <w:rFonts w:ascii="Times New Roman;serif" w:hAnsi="Times New Roman;serif"/>
                <w:b/>
                <w:color w:val="000000"/>
                <w:sz w:val="20"/>
              </w:rPr>
              <w:t>Page</w:t>
            </w:r>
          </w:p>
          <w:p>
            <w:pPr>
              <w:pStyle w:val="TableContents"/>
              <w:bidi w:val="0"/>
              <w:spacing w:lineRule="auto" w:line="288" w:before="60" w:after="60"/>
              <w:jc w:val="right"/>
              <w:rPr>
                <w:rFonts w:ascii="Times New Roman;serif" w:hAnsi="Times New Roman;serif"/>
                <w:b/>
                <w:color w:val="000000"/>
                <w:sz w:val="20"/>
              </w:rPr>
            </w:pPr>
            <w:r>
              <w:rPr>
                <w:rFonts w:ascii="Times New Roman;serif" w:hAnsi="Times New Roman;serif"/>
                <w:b/>
                <w:color w:val="000000"/>
                <w:sz w:val="20"/>
              </w:rPr>
              <w:t>No.</w:t>
            </w:r>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13">
              <w:r>
                <w:rPr>
                  <w:rStyle w:val="InternetLink"/>
                  <w:rFonts w:ascii="Times New Roman;serif" w:hAnsi="Times New Roman;serif"/>
                  <w:b/>
                  <w:color w:val="0000FF"/>
                  <w:sz w:val="20"/>
                  <w:u w:val="single"/>
                </w:rPr>
                <w:t>PART I. FINANCIAL INFORMATION</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Item 1.</w:t>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16">
              <w:r>
                <w:rPr>
                  <w:rStyle w:val="InternetLink"/>
                  <w:rFonts w:ascii="Times New Roman;serif" w:hAnsi="Times New Roman;serif"/>
                  <w:b/>
                  <w:color w:val="0000FF"/>
                  <w:sz w:val="20"/>
                  <w:u w:val="single"/>
                </w:rPr>
                <w:t>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16">
              <w:r>
                <w:rPr>
                  <w:rStyle w:val="InternetLink"/>
                  <w:rFonts w:ascii="Times New Roman;serif" w:hAnsi="Times New Roman;serif"/>
                  <w:b w:val="false"/>
                  <w:color w:val="0000FF"/>
                  <w:sz w:val="20"/>
                  <w:u w:val="single"/>
                </w:rPr>
                <w:t>1</w:t>
              </w:r>
            </w:hyperlink>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19">
              <w:r>
                <w:rPr>
                  <w:rStyle w:val="InternetLink"/>
                  <w:rFonts w:ascii="Times New Roman;serif" w:hAnsi="Times New Roman;serif"/>
                  <w:b w:val="false"/>
                  <w:color w:val="000080"/>
                  <w:sz w:val="20"/>
                  <w:u w:val="single"/>
                </w:rPr>
                <w:t xml:space="preserve">Condensed Consolidated Balance Sheets as of </w:t>
              </w:r>
            </w:hyperlink>
            <w:hyperlink w:anchor="if99e15f3b853459c94ad88039f898d82_19">
              <w:r>
                <w:rPr>
                  <w:rStyle w:val="InternetLink"/>
                  <w:rFonts w:ascii="Times New Roman;serif" w:hAnsi="Times New Roman;serif"/>
                  <w:b w:val="false"/>
                  <w:color w:val="000080"/>
                  <w:sz w:val="20"/>
                  <w:u w:val="single"/>
                </w:rPr>
                <w:t>June</w:t>
              </w:r>
            </w:hyperlink>
            <w:hyperlink w:anchor="if99e15f3b853459c94ad88039f898d82_19">
              <w:r>
                <w:rPr>
                  <w:rStyle w:val="InternetLink"/>
                  <w:rFonts w:ascii="Times New Roman;serif" w:hAnsi="Times New Roman;serif"/>
                  <w:b w:val="false"/>
                  <w:color w:val="000080"/>
                  <w:sz w:val="20"/>
                  <w:u w:val="single"/>
                </w:rPr>
                <w:t xml:space="preserve"> 3</w:t>
              </w:r>
            </w:hyperlink>
            <w:hyperlink w:anchor="if99e15f3b853459c94ad88039f898d82_19">
              <w:r>
                <w:rPr>
                  <w:rStyle w:val="InternetLink"/>
                  <w:rFonts w:ascii="Times New Roman;serif" w:hAnsi="Times New Roman;serif"/>
                  <w:b w:val="false"/>
                  <w:color w:val="000080"/>
                  <w:sz w:val="20"/>
                  <w:u w:val="single"/>
                </w:rPr>
                <w:t>0</w:t>
              </w:r>
            </w:hyperlink>
            <w:hyperlink w:anchor="if99e15f3b853459c94ad88039f898d82_19">
              <w:r>
                <w:rPr>
                  <w:rStyle w:val="InternetLink"/>
                  <w:rFonts w:ascii="Times New Roman;serif" w:hAnsi="Times New Roman;serif"/>
                  <w:b w:val="false"/>
                  <w:color w:val="000080"/>
                  <w:sz w:val="20"/>
                  <w:u w:val="single"/>
                </w:rPr>
                <w:t>, 2026 and December 31, 2025</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19">
              <w:r>
                <w:rPr>
                  <w:rStyle w:val="InternetLink"/>
                  <w:rFonts w:ascii="Times New Roman;serif" w:hAnsi="Times New Roman;serif"/>
                  <w:b w:val="false"/>
                  <w:color w:val="0000FF"/>
                  <w:sz w:val="20"/>
                  <w:u w:val="single"/>
                </w:rPr>
                <w:t>1</w:t>
              </w:r>
            </w:hyperlink>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22">
              <w:r>
                <w:rPr>
                  <w:rStyle w:val="InternetLink"/>
                  <w:rFonts w:ascii="Times New Roman;serif" w:hAnsi="Times New Roman;serif"/>
                  <w:b w:val="false"/>
                  <w:color w:val="000080"/>
                  <w:sz w:val="20"/>
                  <w:u w:val="single"/>
                </w:rPr>
                <w:t>Condensed Consolidated Statements of Operations for the Three</w:t>
              </w:r>
            </w:hyperlink>
            <w:hyperlink w:anchor="if99e15f3b853459c94ad88039f898d82_22">
              <w:r>
                <w:rPr>
                  <w:rStyle w:val="InternetLink"/>
                  <w:rFonts w:ascii="Times New Roman;serif" w:hAnsi="Times New Roman;serif"/>
                  <w:b w:val="false"/>
                  <w:color w:val="000080"/>
                  <w:sz w:val="20"/>
                  <w:u w:val="single"/>
                </w:rPr>
                <w:t xml:space="preserve"> and Six</w:t>
              </w:r>
            </w:hyperlink>
            <w:hyperlink w:anchor="if99e15f3b853459c94ad88039f898d82_22">
              <w:r>
                <w:rPr>
                  <w:rStyle w:val="InternetLink"/>
                  <w:rFonts w:ascii="Times New Roman;serif" w:hAnsi="Times New Roman;serif"/>
                  <w:b w:val="false"/>
                  <w:color w:val="000080"/>
                  <w:sz w:val="20"/>
                  <w:u w:val="single"/>
                </w:rPr>
                <w:t xml:space="preserve"> Months Ended </w:t>
              </w:r>
            </w:hyperlink>
            <w:hyperlink w:anchor="if99e15f3b853459c94ad88039f898d82_22">
              <w:r>
                <w:rPr>
                  <w:rStyle w:val="InternetLink"/>
                  <w:rFonts w:ascii="Times New Roman;serif" w:hAnsi="Times New Roman;serif"/>
                  <w:b w:val="false"/>
                  <w:color w:val="000080"/>
                  <w:sz w:val="20"/>
                  <w:u w:val="single"/>
                </w:rPr>
                <w:t>June</w:t>
              </w:r>
            </w:hyperlink>
            <w:hyperlink w:anchor="if99e15f3b853459c94ad88039f898d82_22">
              <w:r>
                <w:rPr>
                  <w:rStyle w:val="InternetLink"/>
                  <w:rFonts w:ascii="Times New Roman;serif" w:hAnsi="Times New Roman;serif"/>
                  <w:b w:val="false"/>
                  <w:color w:val="000080"/>
                  <w:sz w:val="20"/>
                  <w:u w:val="single"/>
                </w:rPr>
                <w:t xml:space="preserve"> 3</w:t>
              </w:r>
            </w:hyperlink>
            <w:hyperlink w:anchor="if99e15f3b853459c94ad88039f898d82_22">
              <w:r>
                <w:rPr>
                  <w:rStyle w:val="InternetLink"/>
                  <w:rFonts w:ascii="Times New Roman;serif" w:hAnsi="Times New Roman;serif"/>
                  <w:b w:val="false"/>
                  <w:color w:val="000080"/>
                  <w:sz w:val="20"/>
                  <w:u w:val="single"/>
                </w:rPr>
                <w:t>0</w:t>
              </w:r>
            </w:hyperlink>
            <w:hyperlink w:anchor="if99e15f3b853459c94ad88039f898d82_22">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22">
              <w:r>
                <w:rPr>
                  <w:rStyle w:val="InternetLink"/>
                  <w:rFonts w:ascii="Times New Roman;serif" w:hAnsi="Times New Roman;serif"/>
                  <w:b w:val="false"/>
                  <w:color w:val="0000FF"/>
                  <w:sz w:val="20"/>
                  <w:u w:val="single"/>
                </w:rPr>
                <w:t>2</w:t>
              </w:r>
            </w:hyperlink>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25">
              <w:r>
                <w:rPr>
                  <w:rStyle w:val="InternetLink"/>
                  <w:rFonts w:ascii="Times New Roman;serif" w:hAnsi="Times New Roman;serif"/>
                  <w:b w:val="false"/>
                  <w:color w:val="000080"/>
                  <w:sz w:val="20"/>
                  <w:u w:val="single"/>
                </w:rPr>
                <w:t>Condensed Consolidated Statements of Comprehensive Loss for the Three</w:t>
              </w:r>
            </w:hyperlink>
            <w:hyperlink w:anchor="if99e15f3b853459c94ad88039f898d82_25">
              <w:r>
                <w:rPr>
                  <w:rStyle w:val="InternetLink"/>
                  <w:rFonts w:ascii="Times New Roman;serif" w:hAnsi="Times New Roman;serif"/>
                  <w:b w:val="false"/>
                  <w:color w:val="000080"/>
                  <w:sz w:val="20"/>
                  <w:u w:val="single"/>
                </w:rPr>
                <w:t xml:space="preserve"> and Six</w:t>
              </w:r>
            </w:hyperlink>
            <w:hyperlink w:anchor="if99e15f3b853459c94ad88039f898d82_25">
              <w:r>
                <w:rPr>
                  <w:rStyle w:val="InternetLink"/>
                  <w:rFonts w:ascii="Times New Roman;serif" w:hAnsi="Times New Roman;serif"/>
                  <w:b w:val="false"/>
                  <w:color w:val="000080"/>
                  <w:sz w:val="20"/>
                  <w:u w:val="single"/>
                </w:rPr>
                <w:t xml:space="preserve"> Months Ended </w:t>
              </w:r>
            </w:hyperlink>
            <w:hyperlink w:anchor="if99e15f3b853459c94ad88039f898d82_25">
              <w:r>
                <w:rPr>
                  <w:rStyle w:val="InternetLink"/>
                  <w:rFonts w:ascii="Times New Roman;serif" w:hAnsi="Times New Roman;serif"/>
                  <w:b w:val="false"/>
                  <w:color w:val="000080"/>
                  <w:sz w:val="20"/>
                  <w:u w:val="single"/>
                </w:rPr>
                <w:t>June</w:t>
              </w:r>
            </w:hyperlink>
            <w:hyperlink w:anchor="if99e15f3b853459c94ad88039f898d82_25">
              <w:r>
                <w:rPr>
                  <w:rStyle w:val="InternetLink"/>
                  <w:rFonts w:ascii="Times New Roman;serif" w:hAnsi="Times New Roman;serif"/>
                  <w:b w:val="false"/>
                  <w:color w:val="000080"/>
                  <w:sz w:val="20"/>
                  <w:u w:val="single"/>
                </w:rPr>
                <w:t xml:space="preserve"> 3</w:t>
              </w:r>
            </w:hyperlink>
            <w:hyperlink w:anchor="if99e15f3b853459c94ad88039f898d82_25">
              <w:r>
                <w:rPr>
                  <w:rStyle w:val="InternetLink"/>
                  <w:rFonts w:ascii="Times New Roman;serif" w:hAnsi="Times New Roman;serif"/>
                  <w:b w:val="false"/>
                  <w:color w:val="000080"/>
                  <w:sz w:val="20"/>
                  <w:u w:val="single"/>
                </w:rPr>
                <w:t>0</w:t>
              </w:r>
            </w:hyperlink>
            <w:hyperlink w:anchor="if99e15f3b853459c94ad88039f898d82_25">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25">
              <w:r>
                <w:rPr>
                  <w:rStyle w:val="InternetLink"/>
                  <w:rFonts w:ascii="Times New Roman;serif" w:hAnsi="Times New Roman;serif"/>
                  <w:b w:val="false"/>
                  <w:color w:val="0000FF"/>
                  <w:sz w:val="20"/>
                  <w:u w:val="single"/>
                </w:rPr>
                <w:t>3</w:t>
              </w:r>
            </w:hyperlink>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28">
              <w:r>
                <w:rPr>
                  <w:rStyle w:val="InternetLink"/>
                  <w:rFonts w:ascii="Times New Roman;serif" w:hAnsi="Times New Roman;serif"/>
                  <w:b w:val="false"/>
                  <w:color w:val="000080"/>
                  <w:sz w:val="20"/>
                  <w:u w:val="single"/>
                </w:rPr>
                <w:t>Condensed Consolidated Statements of Stockholders' Equity for the Three</w:t>
              </w:r>
            </w:hyperlink>
            <w:hyperlink w:anchor="if99e15f3b853459c94ad88039f898d82_28">
              <w:r>
                <w:rPr>
                  <w:rStyle w:val="InternetLink"/>
                  <w:rFonts w:ascii="Times New Roman;serif" w:hAnsi="Times New Roman;serif"/>
                  <w:b w:val="false"/>
                  <w:color w:val="000080"/>
                  <w:sz w:val="20"/>
                  <w:u w:val="single"/>
                </w:rPr>
                <w:t xml:space="preserve"> and Six</w:t>
              </w:r>
            </w:hyperlink>
            <w:hyperlink w:anchor="if99e15f3b853459c94ad88039f898d82_28">
              <w:r>
                <w:rPr>
                  <w:rStyle w:val="InternetLink"/>
                  <w:rFonts w:ascii="Times New Roman;serif" w:hAnsi="Times New Roman;serif"/>
                  <w:b w:val="false"/>
                  <w:color w:val="000080"/>
                  <w:sz w:val="20"/>
                  <w:u w:val="single"/>
                </w:rPr>
                <w:t xml:space="preserve"> Months Ended </w:t>
              </w:r>
            </w:hyperlink>
            <w:hyperlink w:anchor="if99e15f3b853459c94ad88039f898d82_28">
              <w:r>
                <w:rPr>
                  <w:rStyle w:val="InternetLink"/>
                  <w:rFonts w:ascii="Times New Roman;serif" w:hAnsi="Times New Roman;serif"/>
                  <w:b w:val="false"/>
                  <w:color w:val="000080"/>
                  <w:sz w:val="20"/>
                  <w:u w:val="single"/>
                </w:rPr>
                <w:t>June</w:t>
              </w:r>
            </w:hyperlink>
            <w:hyperlink w:anchor="if99e15f3b853459c94ad88039f898d82_28">
              <w:r>
                <w:rPr>
                  <w:rStyle w:val="InternetLink"/>
                  <w:rFonts w:ascii="Times New Roman;serif" w:hAnsi="Times New Roman;serif"/>
                  <w:b w:val="false"/>
                  <w:color w:val="000080"/>
                  <w:sz w:val="20"/>
                  <w:u w:val="single"/>
                </w:rPr>
                <w:t xml:space="preserve"> 3</w:t>
              </w:r>
            </w:hyperlink>
            <w:hyperlink w:anchor="if99e15f3b853459c94ad88039f898d82_28">
              <w:r>
                <w:rPr>
                  <w:rStyle w:val="InternetLink"/>
                  <w:rFonts w:ascii="Times New Roman;serif" w:hAnsi="Times New Roman;serif"/>
                  <w:b w:val="false"/>
                  <w:color w:val="000080"/>
                  <w:sz w:val="20"/>
                  <w:u w:val="single"/>
                </w:rPr>
                <w:t>0</w:t>
              </w:r>
            </w:hyperlink>
            <w:hyperlink w:anchor="if99e15f3b853459c94ad88039f898d82_28">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9e15f3b853459c94ad88039f898d82_28">
              <w:r>
                <w:rPr>
                  <w:rStyle w:val="InternetLink"/>
                  <w:rFonts w:ascii="Times New Roman;serif" w:hAnsi="Times New Roman;serif"/>
                  <w:b w:val="false"/>
                  <w:color w:val="0000FF"/>
                  <w:sz w:val="20"/>
                  <w:u w:val="single"/>
                </w:rPr>
                <w:t>4</w:t>
              </w:r>
            </w:hyperlink>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31">
              <w:r>
                <w:rPr>
                  <w:rStyle w:val="InternetLink"/>
                  <w:rFonts w:ascii="Times New Roman;serif" w:hAnsi="Times New Roman;serif"/>
                  <w:b w:val="false"/>
                  <w:color w:val="000080"/>
                  <w:sz w:val="20"/>
                  <w:u w:val="single"/>
                </w:rPr>
                <w:t xml:space="preserve">Condensed Consolidated Statements of Cash Flows for the </w:t>
              </w:r>
            </w:hyperlink>
            <w:hyperlink w:anchor="if99e15f3b853459c94ad88039f898d82_31">
              <w:r>
                <w:rPr>
                  <w:rStyle w:val="InternetLink"/>
                  <w:rFonts w:ascii="Times New Roman;serif" w:hAnsi="Times New Roman;serif"/>
                  <w:b w:val="false"/>
                  <w:color w:val="000080"/>
                  <w:sz w:val="20"/>
                  <w:u w:val="single"/>
                </w:rPr>
                <w:t>Six</w:t>
              </w:r>
            </w:hyperlink>
            <w:hyperlink w:anchor="if99e15f3b853459c94ad88039f898d82_31">
              <w:r>
                <w:rPr>
                  <w:rStyle w:val="InternetLink"/>
                  <w:rFonts w:ascii="Times New Roman;serif" w:hAnsi="Times New Roman;serif"/>
                  <w:b w:val="false"/>
                  <w:color w:val="000080"/>
                  <w:sz w:val="20"/>
                  <w:u w:val="single"/>
                </w:rPr>
                <w:t xml:space="preserve"> Months Ended </w:t>
              </w:r>
            </w:hyperlink>
            <w:hyperlink w:anchor="if99e15f3b853459c94ad88039f898d82_31">
              <w:r>
                <w:rPr>
                  <w:rStyle w:val="InternetLink"/>
                  <w:rFonts w:ascii="Times New Roman;serif" w:hAnsi="Times New Roman;serif"/>
                  <w:b w:val="false"/>
                  <w:color w:val="000080"/>
                  <w:sz w:val="20"/>
                  <w:u w:val="single"/>
                </w:rPr>
                <w:t>June</w:t>
              </w:r>
            </w:hyperlink>
            <w:hyperlink w:anchor="if99e15f3b853459c94ad88039f898d82_31">
              <w:r>
                <w:rPr>
                  <w:rStyle w:val="InternetLink"/>
                  <w:rFonts w:ascii="Times New Roman;serif" w:hAnsi="Times New Roman;serif"/>
                  <w:b w:val="false"/>
                  <w:color w:val="000080"/>
                  <w:sz w:val="20"/>
                  <w:u w:val="single"/>
                </w:rPr>
                <w:t xml:space="preserve"> 3</w:t>
              </w:r>
            </w:hyperlink>
            <w:hyperlink w:anchor="if99e15f3b853459c94ad88039f898d82_31">
              <w:r>
                <w:rPr>
                  <w:rStyle w:val="InternetLink"/>
                  <w:rFonts w:ascii="Times New Roman;serif" w:hAnsi="Times New Roman;serif"/>
                  <w:b w:val="false"/>
                  <w:color w:val="000080"/>
                  <w:sz w:val="20"/>
                  <w:u w:val="single"/>
                </w:rPr>
                <w:t>0</w:t>
              </w:r>
            </w:hyperlink>
            <w:hyperlink w:anchor="if99e15f3b853459c94ad88039f898d82_31">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31">
              <w:r>
                <w:rPr>
                  <w:rStyle w:val="InternetLink"/>
                  <w:rFonts w:ascii="Times New Roman;serif" w:hAnsi="Times New Roman;serif"/>
                  <w:b w:val="false"/>
                  <w:color w:val="0000FF"/>
                  <w:sz w:val="20"/>
                  <w:u w:val="single"/>
                </w:rPr>
                <w:t>5</w:t>
              </w:r>
            </w:hyperlink>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34">
              <w:r>
                <w:rPr>
                  <w:rStyle w:val="InternetLink"/>
                  <w:rFonts w:ascii="Times New Roman;serif" w:hAnsi="Times New Roman;serif"/>
                  <w:b w:val="false"/>
                  <w:color w:val="0000FF"/>
                  <w:sz w:val="20"/>
                  <w:u w:val="single"/>
                </w:rPr>
                <w:t>Notes to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34">
              <w:r>
                <w:rPr>
                  <w:rStyle w:val="InternetLink"/>
                  <w:rFonts w:ascii="Times New Roman;serif" w:hAnsi="Times New Roman;serif"/>
                  <w:b w:val="false"/>
                  <w:color w:val="0000FF"/>
                  <w:sz w:val="20"/>
                  <w:u w:val="single"/>
                </w:rPr>
                <w:t>6</w:t>
              </w:r>
            </w:hyperlink>
          </w:p>
        </w:tc>
      </w:tr>
      <w:tr>
        <w:trPr/>
        <w:tc>
          <w:tcPr>
            <w:tcW w:w="1535"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Item 2.</w:t>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79">
              <w:r>
                <w:rPr>
                  <w:rStyle w:val="InternetLink"/>
                  <w:rFonts w:ascii="Times New Roman;serif" w:hAnsi="Times New Roman;serif"/>
                  <w:b/>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79">
              <w:r>
                <w:rPr>
                  <w:rStyle w:val="InternetLink"/>
                  <w:rFonts w:ascii="Times New Roman;serif" w:hAnsi="Times New Roman;serif"/>
                  <w:b w:val="false"/>
                  <w:color w:val="0000FF"/>
                  <w:sz w:val="20"/>
                  <w:u w:val="single"/>
                </w:rPr>
                <w:t>17</w:t>
              </w:r>
            </w:hyperlink>
          </w:p>
        </w:tc>
      </w:tr>
      <w:tr>
        <w:trPr/>
        <w:tc>
          <w:tcPr>
            <w:tcW w:w="1535"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Item 3.</w:t>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100">
              <w:r>
                <w:rPr>
                  <w:rStyle w:val="InternetLink"/>
                  <w:rFonts w:ascii="Times New Roman;serif" w:hAnsi="Times New Roman;serif"/>
                  <w:b/>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100">
              <w:r>
                <w:rPr>
                  <w:rStyle w:val="InternetLink"/>
                  <w:rFonts w:ascii="Times New Roman;serif" w:hAnsi="Times New Roman;serif"/>
                  <w:b w:val="false"/>
                  <w:color w:val="0000FF"/>
                  <w:sz w:val="20"/>
                  <w:u w:val="single"/>
                </w:rPr>
                <w:t>27</w:t>
              </w:r>
            </w:hyperlink>
          </w:p>
        </w:tc>
      </w:tr>
      <w:tr>
        <w:trPr/>
        <w:tc>
          <w:tcPr>
            <w:tcW w:w="1535"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Item 4.</w:t>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103">
              <w:r>
                <w:rPr>
                  <w:rStyle w:val="InternetLink"/>
                  <w:rFonts w:ascii="Times New Roman;serif" w:hAnsi="Times New Roman;serif"/>
                  <w:b/>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103">
              <w:r>
                <w:rPr>
                  <w:rStyle w:val="InternetLink"/>
                  <w:rFonts w:ascii="Times New Roman;serif" w:hAnsi="Times New Roman;serif"/>
                  <w:b w:val="false"/>
                  <w:color w:val="0000FF"/>
                  <w:sz w:val="20"/>
                  <w:u w:val="single"/>
                </w:rPr>
                <w:t>27</w:t>
              </w:r>
            </w:hyperlink>
          </w:p>
        </w:tc>
      </w:tr>
      <w:tr>
        <w:trPr/>
        <w:tc>
          <w:tcPr>
            <w:tcW w:w="9632" w:type="dxa"/>
            <w:gridSpan w:val="6"/>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106">
              <w:r>
                <w:rPr>
                  <w:rStyle w:val="InternetLink"/>
                  <w:rFonts w:ascii="Times New Roman;serif" w:hAnsi="Times New Roman;serif"/>
                  <w:b/>
                  <w:color w:val="0000FF"/>
                  <w:sz w:val="20"/>
                  <w:u w:val="single"/>
                </w:rPr>
                <w:t>PART II.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106">
              <w:r>
                <w:rPr>
                  <w:rStyle w:val="InternetLink"/>
                  <w:rFonts w:ascii="Times New Roman;serif" w:hAnsi="Times New Roman;serif"/>
                  <w:b w:val="false"/>
                  <w:color w:val="0000FF"/>
                  <w:sz w:val="20"/>
                  <w:u w:val="single"/>
                </w:rPr>
                <w:t>28</w:t>
              </w:r>
            </w:hyperlink>
          </w:p>
        </w:tc>
      </w:tr>
      <w:tr>
        <w:trPr/>
        <w:tc>
          <w:tcPr>
            <w:tcW w:w="1535"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Item 1A.</w:t>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109">
              <w:r>
                <w:rPr>
                  <w:rStyle w:val="InternetLink"/>
                  <w:rFonts w:ascii="Times New Roman;serif" w:hAnsi="Times New Roman;serif"/>
                  <w:b/>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109">
              <w:r>
                <w:rPr>
                  <w:rStyle w:val="InternetLink"/>
                  <w:rFonts w:ascii="Times New Roman;serif" w:hAnsi="Times New Roman;serif"/>
                  <w:b w:val="false"/>
                  <w:color w:val="0000FF"/>
                  <w:sz w:val="20"/>
                  <w:u w:val="single"/>
                </w:rPr>
                <w:t>28</w:t>
              </w:r>
            </w:hyperlink>
          </w:p>
        </w:tc>
      </w:tr>
      <w:tr>
        <w:trPr/>
        <w:tc>
          <w:tcPr>
            <w:tcW w:w="1535"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Item 5.</w:t>
            </w:r>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9e15f3b853459c94ad88039f898d82_112">
              <w:r>
                <w:rPr>
                  <w:rStyle w:val="InternetLink"/>
                  <w:rFonts w:ascii="Times New Roman;serif" w:hAnsi="Times New Roman;serif"/>
                  <w:b/>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9e15f3b853459c94ad88039f898d82_112">
              <w:r>
                <w:rPr>
                  <w:rStyle w:val="InternetLink"/>
                  <w:rFonts w:ascii="Times New Roman;serif" w:hAnsi="Times New Roman;serif"/>
                  <w:b w:val="false"/>
                  <w:color w:val="0000FF"/>
                  <w:sz w:val="20"/>
                  <w:u w:val="single"/>
                </w:rPr>
                <w:t>57</w:t>
              </w:r>
            </w:hyperlink>
          </w:p>
        </w:tc>
      </w:tr>
      <w:tr>
        <w:trPr/>
        <w:tc>
          <w:tcPr>
            <w:tcW w:w="1535"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Item 6.</w:t>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115">
              <w:r>
                <w:rPr>
                  <w:rStyle w:val="InternetLink"/>
                  <w:rFonts w:ascii="Times New Roman;serif" w:hAnsi="Times New Roman;serif"/>
                  <w:b/>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115">
              <w:r>
                <w:rPr>
                  <w:rStyle w:val="InternetLink"/>
                  <w:rFonts w:ascii="Times New Roman;serif" w:hAnsi="Times New Roman;serif"/>
                  <w:b w:val="false"/>
                  <w:color w:val="0000FF"/>
                  <w:sz w:val="20"/>
                  <w:u w:val="single"/>
                </w:rPr>
                <w:t>58</w:t>
              </w:r>
            </w:hyperlink>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88" w:before="60" w:after="60"/>
              <w:jc w:val="left"/>
              <w:rPr/>
            </w:pPr>
            <w:hyperlink w:anchor="if99e15f3b853459c94ad88039f898d82_118">
              <w:r>
                <w:rPr>
                  <w:rStyle w:val="InternetLink"/>
                  <w:rFonts w:ascii="Times New Roman;serif" w:hAnsi="Times New Roman;serif"/>
                  <w:b/>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60" w:after="60"/>
              <w:jc w:val="right"/>
              <w:rPr/>
            </w:pPr>
            <w:hyperlink w:anchor="if99e15f3b853459c94ad88039f898d82_118">
              <w:r>
                <w:rPr>
                  <w:rStyle w:val="InternetLink"/>
                  <w:rFonts w:ascii="Times New Roman;serif" w:hAnsi="Times New Roman;serif"/>
                  <w:b w:val="false"/>
                  <w:color w:val="0000FF"/>
                  <w:sz w:val="20"/>
                  <w:u w:val="single"/>
                </w:rPr>
                <w:t>59</w:t>
              </w:r>
            </w:hyperlink>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AGIOS PHARMACEUTICALS, INC.</w:t>
      </w:r>
    </w:p>
    <w:p>
      <w:pPr>
        <w:pStyle w:val="TextBody"/>
        <w:bidi w:val="0"/>
        <w:spacing w:lineRule="auto" w:line="288" w:before="180" w:after="283"/>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ind w:left="0" w:right="0" w:firstLine="720"/>
        <w:jc w:val="center"/>
        <w:rPr>
          <w:rFonts w:ascii="Times New Roman;serif" w:hAnsi="Times New Roman;serif"/>
          <w:b/>
          <w:i/>
          <w:color w:val="000000"/>
          <w:sz w:val="18"/>
        </w:rPr>
      </w:pPr>
      <w:r>
        <w:rPr>
          <w:rFonts w:ascii="Times New Roman;serif" w:hAnsi="Times New Roman;serif"/>
          <w:b/>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25"/>
        <w:gridCol w:w="2199"/>
        <w:gridCol w:w="2216"/>
        <w:gridCol w:w="211"/>
        <w:gridCol w:w="976"/>
        <w:gridCol w:w="109"/>
        <w:gridCol w:w="109"/>
        <w:gridCol w:w="109"/>
        <w:gridCol w:w="109"/>
        <w:gridCol w:w="211"/>
        <w:gridCol w:w="976"/>
        <w:gridCol w:w="155"/>
      </w:tblGrid>
      <w:tr>
        <w:trPr/>
        <w:tc>
          <w:tcPr>
            <w:tcW w:w="2825"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942,052 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1,297,225 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25,000,000 shares authorized; no shares issued or outstanding at June 30, 2026 and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125,000,000 shares authorized; 75,821,241 shares issued and 59,604,830 outstanding at June 30, 2026, and 74,665,003 shares issued and 58,448,592 outstanding at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2,555,037 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(16,216,411 shares at June 30,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1,193,114 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1,108,424 </w:t>
            </w:r>
          </w:p>
        </w:tc>
        <w:tc>
          <w:tcPr>
            <w:tcW w:w="109"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1,297,225 </w:t>
            </w:r>
          </w:p>
        </w:tc>
        <w:tc>
          <w:tcPr>
            <w:tcW w:w="155" w:type="dxa"/>
            <w:tcBorders>
              <w:bottom w:val="single" w:sz="12"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AGIOS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64"/>
        <w:gridCol w:w="1247"/>
        <w:gridCol w:w="1256"/>
        <w:gridCol w:w="211"/>
        <w:gridCol w:w="882"/>
        <w:gridCol w:w="109"/>
        <w:gridCol w:w="109"/>
        <w:gridCol w:w="109"/>
        <w:gridCol w:w="109"/>
        <w:gridCol w:w="211"/>
        <w:gridCol w:w="882"/>
        <w:gridCol w:w="109"/>
        <w:gridCol w:w="109"/>
        <w:gridCol w:w="109"/>
        <w:gridCol w:w="109"/>
        <w:gridCol w:w="211"/>
        <w:gridCol w:w="882"/>
        <w:gridCol w:w="109"/>
        <w:gridCol w:w="109"/>
        <w:gridCol w:w="109"/>
        <w:gridCol w:w="109"/>
        <w:gridCol w:w="211"/>
        <w:gridCol w:w="882"/>
        <w:gridCol w:w="158"/>
      </w:tblGrid>
      <w:tr>
        <w:trPr/>
        <w:tc>
          <w:tcPr>
            <w:tcW w:w="186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 except share and per share data)</w:t>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254,866 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(233,685)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30,600 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(201,309)</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in computing net loss per share – basic and diluted</w:t>
            </w:r>
          </w:p>
        </w:tc>
        <w:tc>
          <w:tcPr>
            <w:tcW w:w="10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59,488,871 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57,932,576 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59,137,508 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57,697,193 </w:t>
            </w:r>
          </w:p>
        </w:tc>
        <w:tc>
          <w:tcPr>
            <w:tcW w:w="1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36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AGIOS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62"/>
        <w:gridCol w:w="1364"/>
        <w:gridCol w:w="1377"/>
        <w:gridCol w:w="211"/>
        <w:gridCol w:w="898"/>
        <w:gridCol w:w="109"/>
        <w:gridCol w:w="109"/>
        <w:gridCol w:w="109"/>
        <w:gridCol w:w="109"/>
        <w:gridCol w:w="211"/>
        <w:gridCol w:w="898"/>
        <w:gridCol w:w="109"/>
        <w:gridCol w:w="109"/>
        <w:gridCol w:w="109"/>
        <w:gridCol w:w="109"/>
        <w:gridCol w:w="211"/>
        <w:gridCol w:w="898"/>
        <w:gridCol w:w="109"/>
        <w:gridCol w:w="109"/>
        <w:gridCol w:w="109"/>
        <w:gridCol w:w="109"/>
        <w:gridCol w:w="211"/>
        <w:gridCol w:w="898"/>
        <w:gridCol w:w="158"/>
      </w:tblGrid>
      <w:tr>
        <w:trPr/>
        <w:tc>
          <w:tcPr>
            <w:tcW w:w="156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(201,309)</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3"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(102,184)</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(111,730)</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(203,802)</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(199,136)</w:t>
            </w:r>
          </w:p>
        </w:tc>
        <w:tc>
          <w:tcPr>
            <w:tcW w:w="158"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AGIOS PHARMACEUTICALS,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2370" w:type="dxa"/>
        <w:jc w:val="center"/>
        <w:tblInd w:w="0" w:type="dxa"/>
        <w:tblLayout w:type="fixed"/>
        <w:tblCellMar>
          <w:top w:w="28" w:type="dxa"/>
          <w:left w:w="28" w:type="dxa"/>
          <w:bottom w:w="28" w:type="dxa"/>
          <w:right w:w="28" w:type="dxa"/>
        </w:tblCellMar>
      </w:tblPr>
      <w:tblGrid>
        <w:gridCol w:w="790"/>
        <w:gridCol w:w="272"/>
        <w:gridCol w:w="274"/>
        <w:gridCol w:w="480"/>
        <w:gridCol w:w="481"/>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488"/>
        <w:gridCol w:w="488"/>
        <w:gridCol w:w="196"/>
        <w:gridCol w:w="109"/>
        <w:gridCol w:w="109"/>
        <w:gridCol w:w="109"/>
        <w:gridCol w:w="196"/>
        <w:gridCol w:w="751"/>
        <w:gridCol w:w="109"/>
        <w:gridCol w:w="109"/>
        <w:gridCol w:w="109"/>
        <w:gridCol w:w="109"/>
        <w:gridCol w:w="196"/>
        <w:gridCol w:w="871"/>
        <w:gridCol w:w="154"/>
      </w:tblGrid>
      <w:tr>
        <w:trPr/>
        <w:tc>
          <w:tcPr>
            <w:tcW w:w="7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Income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amounts)</w:t>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74,665,003 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(561,705)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(16,216,411)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1,193,114 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incentive plan and 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892,746 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75,557,749 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(660,816)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(16,216,411)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1,109,115 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securities</w:t>
            </w:r>
          </w:p>
        </w:tc>
        <w:tc>
          <w:tcPr>
            <w:tcW w:w="96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w:t>
            </w:r>
          </w:p>
        </w:tc>
        <w:tc>
          <w:tcPr>
            <w:tcW w:w="15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incentive plan and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961"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75,821,241 </w:t>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0"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2,591,745 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w:t>
            </w:r>
          </w:p>
        </w:tc>
        <w:tc>
          <w:tcPr>
            <w:tcW w:w="15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(761,519)</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(16,216,411)</w:t>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(802,486)</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1,026,021 </w:t>
            </w:r>
          </w:p>
        </w:tc>
        <w:tc>
          <w:tcPr>
            <w:tcW w:w="1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12370" w:type="dxa"/>
        <w:jc w:val="center"/>
        <w:tblInd w:w="0" w:type="dxa"/>
        <w:tblLayout w:type="fixed"/>
        <w:tblCellMar>
          <w:top w:w="28" w:type="dxa"/>
          <w:left w:w="28" w:type="dxa"/>
          <w:bottom w:w="28" w:type="dxa"/>
          <w:right w:w="28" w:type="dxa"/>
        </w:tblCellMar>
      </w:tblPr>
      <w:tblGrid>
        <w:gridCol w:w="790"/>
        <w:gridCol w:w="272"/>
        <w:gridCol w:w="274"/>
        <w:gridCol w:w="480"/>
        <w:gridCol w:w="481"/>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488"/>
        <w:gridCol w:w="488"/>
        <w:gridCol w:w="196"/>
        <w:gridCol w:w="109"/>
        <w:gridCol w:w="109"/>
        <w:gridCol w:w="109"/>
        <w:gridCol w:w="196"/>
        <w:gridCol w:w="751"/>
        <w:gridCol w:w="109"/>
        <w:gridCol w:w="109"/>
        <w:gridCol w:w="109"/>
        <w:gridCol w:w="109"/>
        <w:gridCol w:w="196"/>
        <w:gridCol w:w="871"/>
        <w:gridCol w:w="154"/>
      </w:tblGrid>
      <w:tr>
        <w:trPr/>
        <w:tc>
          <w:tcPr>
            <w:tcW w:w="7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share amounts)</w:t>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73,372,696 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(16,216,411)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1,540,956 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incentive plan and ESPP</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730,496 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74,103,192 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2,506,788 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(16,216,411)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1,466,528 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securities</w:t>
            </w:r>
          </w:p>
        </w:tc>
        <w:tc>
          <w:tcPr>
            <w:tcW w:w="96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5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incentive plan and ESPP</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961"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74,254,956 </w:t>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0"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2,521,545 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52"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(350,233)</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(16,216,411)</w:t>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(802,486)</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1,369,555 </w:t>
            </w:r>
          </w:p>
        </w:tc>
        <w:tc>
          <w:tcPr>
            <w:tcW w:w="1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240" w:after="283"/>
        <w:jc w:val="center"/>
        <w:rPr/>
      </w:pPr>
      <w:r>
        <w:rPr>
          <w:rFonts w:ascii="Times New Roman;serif" w:hAnsi="Times New Roman;serif"/>
          <w:b/>
          <w:color w:val="000000"/>
          <w:sz w:val="20"/>
        </w:rPr>
        <w:t>AGIOS PHARMACEUTICALS, INC.</w:t>
        <w:br/>
        <w:br/>
        <w:t>Condensed Consolidated Statements of Cash Flows</w:t>
        <w:br/>
      </w:r>
      <w:r>
        <w:rPr>
          <w:rFonts w:ascii="Times New Roman;serif" w:hAnsi="Times New Roman;serif"/>
          <w:b/>
          <w:i/>
          <w:color w:val="000000"/>
          <w:sz w:val="20"/>
        </w:rPr>
        <w:t>(Unaudited)</w:t>
      </w:r>
    </w:p>
    <w:tbl>
      <w:tblPr>
        <w:tblW w:w="10164" w:type="dxa"/>
        <w:jc w:val="center"/>
        <w:tblInd w:w="0" w:type="dxa"/>
        <w:tblLayout w:type="fixed"/>
        <w:tblCellMar>
          <w:top w:w="28" w:type="dxa"/>
          <w:left w:w="28" w:type="dxa"/>
          <w:bottom w:w="28" w:type="dxa"/>
          <w:right w:w="28" w:type="dxa"/>
        </w:tblCellMar>
      </w:tblPr>
      <w:tblGrid>
        <w:gridCol w:w="2666"/>
        <w:gridCol w:w="2340"/>
        <w:gridCol w:w="2344"/>
        <w:gridCol w:w="211"/>
        <w:gridCol w:w="901"/>
        <w:gridCol w:w="109"/>
        <w:gridCol w:w="109"/>
        <w:gridCol w:w="109"/>
        <w:gridCol w:w="109"/>
        <w:gridCol w:w="211"/>
        <w:gridCol w:w="901"/>
        <w:gridCol w:w="154"/>
      </w:tblGrid>
      <w:tr>
        <w:trPr/>
        <w:tc>
          <w:tcPr>
            <w:tcW w:w="2666"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from operations to net cash used in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 on marketable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associated with license agreement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investments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and non-current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(188,613)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associated with license agreement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stock option exercises and employee stock purchase plan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the period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the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transactions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Exchanges of marketable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taxes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AGIOS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 Overview and Basis of Presentation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Note Regarding Certain References in this Quarterly Report on Form 10-Q</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“Agios,” “the Company,” “we,” “us,” and “our,” and similar expressions, except where the context requires otherwise, refer to Agios Pharmaceuticals, Inc. and its consolidated subsidiaries, and “our Board of Directors” refers to the board of directors of Agios Pharmaceuticals,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unless otherwise stated or the context indicates otherwise, all references in this Quarterly Report on Form 10-Q to “AQVESME™ (mitapivat)” or “AQVESME™” refer to our U.S. Food and Drug Administration, or FDA, approved medicine for the treatment of anemia in adults with non-transfusion dependent and transfusion-dependent alpha- or beta-thalassemia in the United States; references to “PYRUKYND® (mitapivat)”, “PYRUKYND®”, or “mitapivat” refer to all other commercially available mitapivat products or mitapivat product candidates for which we are exploring further applications and indications, as the context requires. </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dedicated to redefining the future of rare disease treatment. Fueled by connections, we build trusted partnerships with communities, collaborating to develop and deliver innovative medicines that have the potential to transform lives. With a foundation in hematology, we combine biological expertise with real-world insights to advance a growing pipeline of rare disease medicines that reflect the priorities of the people we serve. We are located in Cambridge, Massachusetts.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lead product candidate in our portfolio, mitapivat, is an activator of both wild-type and mutant pyruvate kinase, or PK, enzymes for the potential treatment of hemolytic anemias. Mitapivat is approved under the brand name AQVESME™ in the United States for the treatment of anemia in adults with non-transfusion dependent and transfusion-dependent alpha- or beta-thalassemia. Mitapivat is approved under the brand name PYRUKYND®: in the United States for the treatment of hemolytic anemia in adults with PK deficiency; in the European Union, or EU, for the treatment of PK deficiency and for the treatment of non-transfusion dependent and transfusion dependent alpha- or beta-thalassemia in adult patients; in the Kingdom of Saudi Arabia for the treatment of adults with non-transfusion dependent and transfusion-dependent alpha- or beta-thalassemia; in the United Arab Emirates for the treatment of non-transfusion-dependent and transfusion-dependent alpha- or beta-thalassemia in adult patients; and in Great Britain for the treatment of PK deficiency in adult patients.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We submitted a supplemental New Drug Application, or sNDA, for the U.S. accelerated approval of mitapivat in sickle cell disease, or SCD, in May 2026, which was accepted with priority review by the FDA and granted a Prescription Drug User Fee Act, or PDUFA, goal date of November 1, 2026. To support this accelerated approval pathway, we initiated REIGNITE, a phase 3 confirmatory trial designed to demonstrate the clinical benefit of mitapivat on reducing transfusion burden in patients with SCD aged 12 years or older. Additionally, in the second quarter of 2026 we filed for regulatory approval for SCD in the Kingdom of Saudi Arabia.</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developing (i) AG-181, our phenylalanine hydroxylase, or PAH, stabilizer for the potential treatment of phenylketonuria, or PKU; (ii) AG-236, an siRNA in-licensed from Alnylam Pharmaceuticals, Inc., or Alnylam, targeting the transmembrane serine protease 6, or TMPRSS6, gene for the potential treatment of polycythemia vera, or PV; and (iii) cevidoplenib, an oral spleen tyrosine kinase, or SYK, inhibitor in-licensed from Oscotec Inc., or Oscotec, for the potential treatment of immune thrombocytopenia, or ITP, and other autoimmune indications.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risks common to companies in our industry including, but not limited to, uncertainties relating to conducting preclinical and clinical research and development, the manufacture and supply of products for clinical and commercial use, obtaining and maintaining regulatory approvals and pricing and reimbursement for our products, market acceptance, managing global growth and operating expenses, availability of additional capital, competition, obtaining and enforcing patents, stock price volatility, dependence on collaborative relationships and third-party service providers, dependence on key personnel, potential litigation, potential product liability claims and potential government investigations.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Oscotec License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we entered into a license agreement with Oscotec, a South Korean biopharmaceutical company, under which Agios acquired the worldwide rights (subject to Oscotec’s right to opt-in to develop and commercialize cevidoplenib in South Korea) to develop, manufacture, and commercialize cevidoplenib as a potential treatment for ITP and other autoimmune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20" w:after="120"/>
        <w:jc w:val="both"/>
        <w:rPr/>
      </w:pPr>
      <w:r>
        <w:rPr>
          <w:rFonts w:ascii="Times New Roman;serif" w:hAnsi="Times New Roman;serif"/>
          <w:b w:val="false"/>
          <w:color w:val="000000"/>
          <w:sz w:val="20"/>
        </w:rPr>
        <w:t xml:space="preserve">indications. Because the acquired assets do not meet the definition of a business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Agios will account for the agreement as an asset 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the agreement, in the three months ended June 30, 2026, Agios made an up-front payment to Oscotec and recognized in-process research and development of $25.0 million, which was recorded in research and development expense within our Consolidated Statements of Operations and classified as investing activities within our Consolidated Statements of Cash Flows. In addition, Agios is responsible to pay up to $140.0 million in potential development and regulatory milestones in the U.S. and Europe, in addition to sales milestones as well as tiered royalties on future net sales, if any, of licensed products, which may be subject to specified reductions and offsets.</w:t>
      </w:r>
    </w:p>
    <w:p>
      <w:pPr>
        <w:pStyle w:val="TextBody"/>
        <w:bidi w:val="0"/>
        <w:spacing w:lineRule="auto" w:line="268" w:before="120" w:after="120"/>
        <w:jc w:val="both"/>
        <w:rPr>
          <w:rFonts w:ascii="Times New Roman;serif" w:hAnsi="Times New Roman;serif"/>
          <w:b/>
          <w:i/>
          <w:color w:val="000000"/>
          <w:sz w:val="20"/>
        </w:rPr>
      </w:pPr>
      <w:r>
        <w:rPr>
          <w:rFonts w:ascii="Times New Roman;serif" w:hAnsi="Times New Roman;serif"/>
          <w:b/>
          <w:i/>
          <w:color w:val="000000"/>
          <w:sz w:val="20"/>
        </w:rPr>
        <w:t>Sale of Oncology Business to Servier and Sale of Contingent Payments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March 2021, we completed the sale of our oncology business to Servier Pharmaceuticals, LLC, or Servier. The transaction included the sale of our entire oncology business, including our clinical-stage product candidate vorasidenib, and included a royalty of 15% of U.S. net sales of vorasidenib from the first commercial sale of vorasidenib through loss of exclusivity, or the Vorasidenib Royalty Rights. The Vorasidenib Royalty Rights are referred to as contingent payments and recognized as income when realizable.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May 2024, we entered into a purchase and sale agreement to sell the Vorasidenib Royalty Rights to Royalty Pharma Investments 2019 ICAV, or Royalty Pharma. The sale was contingent upon FDA approval of vorasidenib and other customary closing conditions.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consummation of the sale in August 2024, Royalty Pharma acquired 100% of the Vorasidenib Royalty Rights payments made by Servier on account of up to $1.0 billion in U.S. net sales for each calendar year. In addition, any such Vorasidenib Royalty Rights payments made by Servier on account of U.S. net sales in each calendar year in excess of $1.0 billion will be split, with Royalty Pharma having the rights to a 12% earn-out on those excess payments and Agios retaining the rights to a 3% earn-out on those excess payments, or the Retained Earn-Out Rights. Royalty income related to the Retained Earn-Out Rights, if any, will be recognized in the period when realizable.</w:t>
      </w:r>
    </w:p>
    <w:p>
      <w:pPr>
        <w:pStyle w:val="TextBody"/>
        <w:bidi w:val="0"/>
        <w:spacing w:lineRule="auto" w:line="268" w:before="12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June 30, 2026, the condensed consolidated statements of operations, comprehensive loss and stockholders' equity for the three and six months ended June 30, 2026 and 2025, and the condensed consolidated statements of cash flows for the six months ended June 30, 2026 and 2025 are unaudited. The unaudited condensed consolidated financial statements have been prepared on the same basis as the annual financial statements and, in the opinion of our management, reflect all adjustments, which include only normal recurring adjustments, necessary to fairly state our financial position as of June 30, 2026, our results of operations and stockholders' equity for the three and six months ended June 30, 2026 and 2025, and cash flows for the six months ended June 30, 2026 and 2025. The financial data and other financial information disclosed in these notes to the condensed consolidated financial statements related to the three and six-month periods are also unaudited. The results of operations for the three and six months ended June 30, 2026 are not necessarily indicative of the results to be expected for the year ending December 31, 2026 or for any other future annual or interim period. The condensed consolidated balance sheet data as of December 31, 2025 was derived from our audited financial statements, but does not include all disclosures required by U.S. generally accepted accounting principles, or U.S. GAAP. The condensed consolidated interim financial statements should be read in conjunction with the audited consolidated financial statements and notes thereto included in our Annual Report on Form 10-K for the year ended December 31, 2025 that was filed with the Securities and Exchange Commission on February 12,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include our accounts and the accounts of our wholly owned subsidiaries. All intercompany transactions have been eliminated in consolidation. The condensed consolidated financial statements have been prepared in conformity with U.S. GAAP.</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our condensed consolidated financial statements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revenues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cash equivalents and marketable securities of $1.0 billion. Although we have incurred recurring losses and expect to continue to incur losses for the foreseeable future, we expect our cash, cash equivalents and marketable securities to be sufficient to fund current operations for at least the next twelve months from the issuance of the financial statements. If we are unable to raise additional funds through equity or debt financings, we may be required to delay, limit, reduce or terminate product development or future commercialization efforts, or grant rights to develop and market products or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significant accounting policies previously disclosed in our Annual Report on Form 10-K for the year ended December 31,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Financial Accounting Standards Board issued Accounting Standards Update, or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to improve disclosures around an entity’s expenses. Upon adoption, companies will be required to disclose in the notes to the financial statements a disaggregation of certain expense categories included within the expense captions on the face of the income statement. The standard is effective for annual periods beginning after December 15, 2026 and interim periods beginning after December 15, 2027, with early adoption permitted, and can be applied either prospectively or retrospectively. We plan to adopt the standard in our 2027 annual period and are currently assessing its effect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120" w:after="120"/>
        <w:jc w:val="both"/>
        <w:rPr/>
      </w:pPr>
      <w:r>
        <w:rPr>
          <w:rFonts w:ascii="Times New Roman;serif" w:hAnsi="Times New Roman;serif"/>
          <w:b w:val="false"/>
          <w:color w:val="000000"/>
          <w:sz w:val="20"/>
        </w:rPr>
        <w:t xml:space="preserve">We record cash equivalents and marketable securities at fair value.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establishes a fair value hierarchy for those instruments measured at fair value that distinguishes between assumptions based on market data (observable inputs) and our own assumptions (unobservable inputs). The hierarchy consists of three levels:</w:t>
      </w:r>
    </w:p>
    <w:p>
      <w:pPr>
        <w:pStyle w:val="TextBody"/>
        <w:bidi w:val="0"/>
        <w:spacing w:lineRule="auto" w:line="288" w:before="120" w:after="120"/>
        <w:jc w:val="both"/>
        <w:rPr/>
      </w:pPr>
      <w:r>
        <w:rPr>
          <w:rFonts w:ascii="Times New Roman;serif" w:hAnsi="Times New Roman;serif"/>
          <w:b w:val="false"/>
          <w:i/>
          <w:color w:val="000000"/>
          <w:sz w:val="20"/>
        </w:rPr>
        <w:t>Level 1</w:t>
      </w:r>
      <w:r>
        <w:rPr>
          <w:color w:val="000000"/>
        </w:rPr>
        <w:t xml:space="preserve"> – </w:t>
      </w:r>
      <w:r>
        <w:rPr>
          <w:rFonts w:ascii="Times New Roman;serif" w:hAnsi="Times New Roman;serif"/>
          <w:b w:val="false"/>
          <w:color w:val="000000"/>
          <w:sz w:val="20"/>
        </w:rPr>
        <w:t>Unadjusted quoted prices in active markets for identical assets or liabilities.</w:t>
      </w:r>
    </w:p>
    <w:p>
      <w:pPr>
        <w:pStyle w:val="TextBody"/>
        <w:bidi w:val="0"/>
        <w:spacing w:lineRule="auto" w:line="288" w:before="120" w:after="120"/>
        <w:jc w:val="both"/>
        <w:rPr/>
      </w:pPr>
      <w:r>
        <w:rPr>
          <w:rFonts w:ascii="Times New Roman;serif" w:hAnsi="Times New Roman;serif"/>
          <w:b w:val="false"/>
          <w:i/>
          <w:color w:val="000000"/>
          <w:sz w:val="20"/>
        </w:rPr>
        <w:t>Level 2</w:t>
      </w:r>
      <w:r>
        <w:rPr>
          <w:color w:val="000000"/>
        </w:rPr>
        <w:t xml:space="preserve"> – </w:t>
      </w:r>
      <w:r>
        <w:rPr>
          <w:rFonts w:ascii="Times New Roman;serif" w:hAnsi="Times New Roman;serif"/>
          <w:b w:val="false"/>
          <w:color w:val="000000"/>
          <w:sz w:val="20"/>
        </w:rPr>
        <w:t>Quoted prices for similar assets and liabilities in active markets, quoted prices in markets that are not active, or inputs which are observable, directly or indirectly, for substantially the full term of the asset or liability.</w:t>
      </w:r>
    </w:p>
    <w:p>
      <w:pPr>
        <w:pStyle w:val="TextBody"/>
        <w:bidi w:val="0"/>
        <w:spacing w:lineRule="auto" w:line="288" w:before="120" w:after="120"/>
        <w:jc w:val="both"/>
        <w:rPr/>
      </w:pPr>
      <w:r>
        <w:rPr>
          <w:rFonts w:ascii="Times New Roman;serif" w:hAnsi="Times New Roman;serif"/>
          <w:b w:val="false"/>
          <w:i/>
          <w:color w:val="000000"/>
          <w:sz w:val="20"/>
        </w:rPr>
        <w:t>Level 3</w:t>
      </w:r>
      <w:r>
        <w:rPr>
          <w:color w:val="000000"/>
        </w:rPr>
        <w:t xml:space="preserve"> – </w:t>
      </w:r>
      <w:r>
        <w:rPr>
          <w:rFonts w:ascii="Times New Roman;serif" w:hAnsi="Times New Roman;serif"/>
          <w:b w:val="false"/>
          <w:color w:val="000000"/>
          <w:sz w:val="20"/>
        </w:rPr>
        <w:t>Unobservable inputs that reflect our own assumptions about the assumptions market participants would use in pricing the asset or liability in which there is little, if any, market activity for the asset or liability at the measurement date.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equivalents and marketable securities measured at fair value and by level on a recurring basis as of June 30, 2026:</w:t>
      </w:r>
    </w:p>
    <w:tbl>
      <w:tblPr>
        <w:tblW w:w="9135" w:type="dxa"/>
        <w:jc w:val="left"/>
        <w:tblInd w:w="0" w:type="dxa"/>
        <w:tblLayout w:type="fixed"/>
        <w:tblCellMar>
          <w:top w:w="28" w:type="dxa"/>
          <w:left w:w="28" w:type="dxa"/>
          <w:bottom w:w="28" w:type="dxa"/>
          <w:right w:w="28" w:type="dxa"/>
        </w:tblCellMar>
      </w:tblPr>
      <w:tblGrid>
        <w:gridCol w:w="1470"/>
        <w:gridCol w:w="1289"/>
        <w:gridCol w:w="1291"/>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0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marketable securities</w:t>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30,098 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873,826 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903,924 </w:t>
            </w:r>
          </w:p>
        </w:tc>
        <w:tc>
          <w:tcPr>
            <w:tcW w:w="1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Cash equivalents and marketable securities have been initially valued at the transaction price and are subsequently valued, at the end of each reporting period, utilizing third-party pricing services or other observable market data. The pricing services utilize industry standard valuation models, including both income and market-based approaches, and observable market inputs to determine value. After completing our validation procedures, we did not adjust or override any fair value measurements provided by the pricing services as of June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valuation methods during the six months ended June 30, 2026, and we had no financial assets or liabilities that were classified as Level 3 at any point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4. Marketable Securities</w:t>
      </w:r>
    </w:p>
    <w:p>
      <w:pPr>
        <w:pStyle w:val="TextBody"/>
        <w:bidi w:val="0"/>
        <w:spacing w:lineRule="auto" w:line="288" w:before="120" w:after="120"/>
        <w:jc w:val="both"/>
        <w:rPr/>
      </w:pPr>
      <w:r>
        <w:rPr>
          <w:rFonts w:ascii="Times New Roman;serif" w:hAnsi="Times New Roman;serif"/>
          <w:b w:val="false"/>
          <w:color w:val="000000"/>
          <w:sz w:val="20"/>
        </w:rPr>
        <w:t xml:space="preserve">Our marketable securities are classified as available-for-sale pursuant to ASC 320, </w:t>
      </w:r>
      <w:r>
        <w:rPr>
          <w:rFonts w:ascii="Times New Roman;serif" w:hAnsi="Times New Roman;serif"/>
          <w:b w:val="false"/>
          <w:i/>
          <w:color w:val="000000"/>
          <w:sz w:val="20"/>
        </w:rPr>
        <w:t>Investments – Debt and Equity Securities</w:t>
      </w:r>
      <w:r>
        <w:rPr>
          <w:rFonts w:ascii="Times New Roman;serif" w:hAnsi="Times New Roman;serif"/>
          <w:b w:val="false"/>
          <w:color w:val="000000"/>
          <w:sz w:val="20"/>
        </w:rPr>
        <w:t xml:space="preserve">, and are recorded at fair value. Unrealized gains and losses are included as a component of accumulated other comprehensive (loss) income in the condensed consolidated balance sheets and statements of stockholders’ equity, and a component of total comprehensive loss in the condensed consolidated statements of comprehensive loss, until realized. Unrealized losses are evaluated for impairment under ASC 326, </w:t>
      </w:r>
      <w:r>
        <w:rPr>
          <w:rFonts w:ascii="Times New Roman;serif" w:hAnsi="Times New Roman;serif"/>
          <w:b w:val="false"/>
          <w:i/>
          <w:color w:val="000000"/>
          <w:sz w:val="20"/>
        </w:rPr>
        <w:t>Financial Instruments - Credit Losses</w:t>
      </w:r>
      <w:r>
        <w:rPr>
          <w:rFonts w:ascii="Times New Roman;serif" w:hAnsi="Times New Roman;serif"/>
          <w:b w:val="false"/>
          <w:color w:val="000000"/>
          <w:sz w:val="20"/>
        </w:rPr>
        <w:t>, to determine if the impairment is credit-related or noncredit-related. Credit-related impairment is recognized as an allowance on the condensed consolidated balance sheets with a corresponding adjustment to earnings, and noncredit-related impairment is recognized in other comprehensive income, net of taxes. Realized gains and losses are included in investment income on a specific-identification basis. There were no material realized gains or losses on marketable securities for the three and six months ended June 30, 2026 or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Marketable securities at June 30, 2026 consisted of the following:</w:t>
      </w:r>
    </w:p>
    <w:tbl>
      <w:tblPr>
        <w:tblW w:w="7524" w:type="dxa"/>
        <w:jc w:val="left"/>
        <w:tblInd w:w="0" w:type="dxa"/>
        <w:tblLayout w:type="fixed"/>
        <w:tblCellMar>
          <w:top w:w="28" w:type="dxa"/>
          <w:left w:w="28" w:type="dxa"/>
          <w:bottom w:w="28" w:type="dxa"/>
          <w:right w:w="28" w:type="dxa"/>
        </w:tblCellMar>
      </w:tblPr>
      <w:tblGrid>
        <w:gridCol w:w="838"/>
        <w:gridCol w:w="735"/>
        <w:gridCol w:w="736"/>
        <w:gridCol w:w="211"/>
        <w:gridCol w:w="826"/>
        <w:gridCol w:w="109"/>
        <w:gridCol w:w="109"/>
        <w:gridCol w:w="109"/>
        <w:gridCol w:w="109"/>
        <w:gridCol w:w="237"/>
        <w:gridCol w:w="525"/>
        <w:gridCol w:w="124"/>
        <w:gridCol w:w="109"/>
        <w:gridCol w:w="109"/>
        <w:gridCol w:w="109"/>
        <w:gridCol w:w="211"/>
        <w:gridCol w:w="691"/>
        <w:gridCol w:w="109"/>
        <w:gridCol w:w="109"/>
        <w:gridCol w:w="109"/>
        <w:gridCol w:w="109"/>
        <w:gridCol w:w="211"/>
        <w:gridCol w:w="82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347,254 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866,978 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24"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865,183 </w:t>
            </w:r>
          </w:p>
        </w:tc>
        <w:tc>
          <w:tcPr>
            <w:tcW w:w="154"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Marketable securities at December 31, 2025 consisted of the following:</w:t>
      </w:r>
    </w:p>
    <w:tbl>
      <w:tblPr>
        <w:tblW w:w="7750" w:type="dxa"/>
        <w:jc w:val="left"/>
        <w:tblInd w:w="0" w:type="dxa"/>
        <w:tblLayout w:type="fixed"/>
        <w:tblCellMar>
          <w:top w:w="28" w:type="dxa"/>
          <w:left w:w="28" w:type="dxa"/>
          <w:bottom w:w="28" w:type="dxa"/>
          <w:right w:w="28" w:type="dxa"/>
        </w:tblCellMar>
      </w:tblPr>
      <w:tblGrid>
        <w:gridCol w:w="838"/>
        <w:gridCol w:w="735"/>
        <w:gridCol w:w="737"/>
        <w:gridCol w:w="211"/>
        <w:gridCol w:w="976"/>
        <w:gridCol w:w="109"/>
        <w:gridCol w:w="109"/>
        <w:gridCol w:w="109"/>
        <w:gridCol w:w="109"/>
        <w:gridCol w:w="211"/>
        <w:gridCol w:w="616"/>
        <w:gridCol w:w="109"/>
        <w:gridCol w:w="109"/>
        <w:gridCol w:w="109"/>
        <w:gridCol w:w="109"/>
        <w:gridCol w:w="257"/>
        <w:gridCol w:w="495"/>
        <w:gridCol w:w="134"/>
        <w:gridCol w:w="109"/>
        <w:gridCol w:w="109"/>
        <w:gridCol w:w="109"/>
        <w:gridCol w:w="211"/>
        <w:gridCol w:w="97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2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310,013 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1,073,115 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3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1,075,308 </w:t>
            </w:r>
          </w:p>
        </w:tc>
        <w:tc>
          <w:tcPr>
            <w:tcW w:w="1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held both current and non-current investments. Investments classified as current have maturities of less than one year. Investments classified as non-current are those that: (i) have a maturity of greater than one year, and (ii) we do not intend to liquidate within the next twelve months, although these funds are available for use and, therefore, are classified as available-for-sale.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held 134 and 37 debt securities, respectively, that were in an unrealized loss position for less than one year. We did not record an allowance for credit losses as of June 30, 2026 and December 31, 2025 related to these securities. The aggregate fair value of debt securities in an unrealized loss position at June 30,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December 31, 2025 was $572.7 million and $136.2 million, respectively. There were no individual securities that were in a significant unrealized loss position as of June 30, 2026 and December 31, 2025. We regularly review the securities in an unrealized loss position and evaluate the current expected credit loss by considering factors such as historical experience, market data, issuer-specific factors, and current economic conditions. We do not consider these marketable securities to be impaired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Inventory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Inventory, which consists of commercial supply of PYRUKYND® and AQVESME™, consisted of the following:</w:t>
      </w:r>
    </w:p>
    <w:tbl>
      <w:tblPr>
        <w:tblW w:w="5103" w:type="dxa"/>
        <w:jc w:val="left"/>
        <w:tblInd w:w="0" w:type="dxa"/>
        <w:tblLayout w:type="fixed"/>
        <w:tblCellMar>
          <w:top w:w="28" w:type="dxa"/>
          <w:left w:w="28" w:type="dxa"/>
          <w:bottom w:w="28" w:type="dxa"/>
          <w:right w:w="28" w:type="dxa"/>
        </w:tblCellMar>
      </w:tblPr>
      <w:tblGrid>
        <w:gridCol w:w="1009"/>
        <w:gridCol w:w="767"/>
        <w:gridCol w:w="774"/>
        <w:gridCol w:w="211"/>
        <w:gridCol w:w="721"/>
        <w:gridCol w:w="109"/>
        <w:gridCol w:w="109"/>
        <w:gridCol w:w="109"/>
        <w:gridCol w:w="109"/>
        <w:gridCol w:w="230"/>
        <w:gridCol w:w="787"/>
        <w:gridCol w:w="168"/>
      </w:tblGrid>
      <w:tr>
        <w:trPr/>
        <w:tc>
          <w:tcPr>
            <w:tcW w:w="10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25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32,920 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Sheet Classification: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35,752 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32,920 </w:t>
            </w:r>
          </w:p>
        </w:tc>
        <w:tc>
          <w:tcPr>
            <w:tcW w:w="168"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Long-term inventory is included in other non-current assets within our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6.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building leases are comprised of office and laboratory space under non-cancelable operating leases. These lease agreements have remaining lease terms of approximately two years and contain various clauses for renewal at our option. The renewal options were not included in the calculation of the operating lease assets and the operating lease liabilities as the renewal options are not reasonably certain of being exercised. The lease agreements do not contain residual value guarantees.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and other information related to leases were as follows:</w:t>
      </w:r>
    </w:p>
    <w:tbl>
      <w:tblPr>
        <w:tblW w:w="10205" w:type="dxa"/>
        <w:jc w:val="left"/>
        <w:tblInd w:w="0" w:type="dxa"/>
        <w:tblLayout w:type="fixed"/>
        <w:tblCellMar>
          <w:top w:w="28" w:type="dxa"/>
          <w:left w:w="28" w:type="dxa"/>
          <w:bottom w:w="28" w:type="dxa"/>
          <w:right w:w="28" w:type="dxa"/>
        </w:tblCellMar>
      </w:tblPr>
      <w:tblGrid>
        <w:gridCol w:w="2007"/>
        <w:gridCol w:w="1686"/>
        <w:gridCol w:w="1691"/>
        <w:gridCol w:w="215"/>
        <w:gridCol w:w="629"/>
        <w:gridCol w:w="111"/>
        <w:gridCol w:w="111"/>
        <w:gridCol w:w="111"/>
        <w:gridCol w:w="111"/>
        <w:gridCol w:w="215"/>
        <w:gridCol w:w="629"/>
        <w:gridCol w:w="111"/>
        <w:gridCol w:w="109"/>
        <w:gridCol w:w="109"/>
        <w:gridCol w:w="109"/>
        <w:gridCol w:w="211"/>
        <w:gridCol w:w="616"/>
        <w:gridCol w:w="109"/>
        <w:gridCol w:w="109"/>
        <w:gridCol w:w="109"/>
        <w:gridCol w:w="109"/>
        <w:gridCol w:w="211"/>
        <w:gridCol w:w="616"/>
        <w:gridCol w:w="161"/>
      </w:tblGrid>
      <w:tr>
        <w:trPr/>
        <w:tc>
          <w:tcPr>
            <w:tcW w:w="200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8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1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1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9,748 </w:t>
            </w:r>
          </w:p>
        </w:tc>
        <w:tc>
          <w:tcPr>
            <w:tcW w:w="1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We have not entered into any material short-term leases or financing leases as of June 30, 2026.</w:t>
      </w:r>
    </w:p>
    <w:p>
      <w:pPr>
        <w:pStyle w:val="TextBody"/>
        <w:bidi w:val="0"/>
        <w:spacing w:lineRule="auto" w:line="288" w:before="120" w:after="120"/>
        <w:jc w:val="both"/>
        <w:rPr/>
      </w:pPr>
      <w:r>
        <w:rPr>
          <w:rFonts w:ascii="Times New Roman;serif" w:hAnsi="Times New Roman;serif"/>
          <w:b w:val="false"/>
          <w:color w:val="000000"/>
          <w:sz w:val="20"/>
        </w:rPr>
        <w:t>In arriving at the operating lease liabilities as of June 30, 2026 and December 31, 2025, we applied the weighted-average incremental borrowing rate of 5.7% for both periods over a weighted-average remaining lease term of 1.7 and 2.2 years, respectively.</w:t>
      </w:r>
      <w:r>
        <w:rPr>
          <w:color w:val="000000"/>
        </w:rPr>
        <w:t xml:space="preserve">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undiscounted minimum rental commitments under non-cancelable leases were as follows:</w:t>
      </w:r>
    </w:p>
    <w:tbl>
      <w:tblPr>
        <w:tblW w:w="4821" w:type="dxa"/>
        <w:jc w:val="left"/>
        <w:tblInd w:w="0" w:type="dxa"/>
        <w:tblLayout w:type="fixed"/>
        <w:tblCellMar>
          <w:top w:w="28" w:type="dxa"/>
          <w:left w:w="28" w:type="dxa"/>
          <w:bottom w:w="28" w:type="dxa"/>
          <w:right w:w="28" w:type="dxa"/>
        </w:tblCellMar>
      </w:tblPr>
      <w:tblGrid>
        <w:gridCol w:w="1354"/>
        <w:gridCol w:w="1188"/>
        <w:gridCol w:w="1193"/>
        <w:gridCol w:w="211"/>
        <w:gridCol w:w="721"/>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Undiscounted minimum rental commitments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31,171 </w:t>
            </w:r>
          </w:p>
        </w:tc>
        <w:tc>
          <w:tcPr>
            <w:tcW w:w="154"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We provided our landlord a security deposit of $2.9 million as security for our leases, which is included within other non-current assets on our condensed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2022, we entered into a long-term sublease agreement for 27,000 square feet of the office space at 64 Sidney Street, Cambridge, Massachusetts, which expired on April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2023, we entered into a long-term sublease agreement for 7,407 square feet of office space on the first floor of 64 Sidney Street, Cambridge, Massachusetts, which expired on July 31, 2025. In July 2025, we entered into a long-term sublease agreement with a new tenant for the same space, which began in November 2025 with the term of the lease running through February 2028.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2026, we entered into a long-term sublease agreement for 12,995 square feet of the office space at 38 Sidney Street, Cambridge, Massachusetts, which begins in July 2026 with the term of the lease running through February 2028.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operating sublease income of $0.1 million and $0.5 million for the three months ended June 30, 2026 and 2025, respectively, and $0.2 million and $1.8 million for the six months ended June 30, 2026 and 2025, respectively, in other income, net in the condensed consolidated statements of operations. We hold security deposits from our sublessees of approximately $0.2 million which is recorded within other non-current assets on our condensed consolidated balance sheet.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future minimum lease payments to be received under the long-term sublease agreements were as follows:</w:t>
      </w:r>
    </w:p>
    <w:tbl>
      <w:tblPr>
        <w:tblW w:w="2465" w:type="dxa"/>
        <w:jc w:val="left"/>
        <w:tblInd w:w="0" w:type="dxa"/>
        <w:tblLayout w:type="fixed"/>
        <w:tblCellMar>
          <w:top w:w="28" w:type="dxa"/>
          <w:left w:w="28" w:type="dxa"/>
          <w:bottom w:w="28" w:type="dxa"/>
          <w:right w:w="28" w:type="dxa"/>
        </w:tblCellMar>
      </w:tblPr>
      <w:tblGrid>
        <w:gridCol w:w="538"/>
        <w:gridCol w:w="472"/>
        <w:gridCol w:w="474"/>
        <w:gridCol w:w="211"/>
        <w:gridCol w:w="61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r>
      <w:tr>
        <w:trPr/>
        <w:tc>
          <w:tcPr>
            <w:tcW w:w="1484"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54"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7. Accrued Expenses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5958" w:type="dxa"/>
        <w:jc w:val="left"/>
        <w:tblInd w:w="0" w:type="dxa"/>
        <w:tblLayout w:type="fixed"/>
        <w:tblCellMar>
          <w:top w:w="28" w:type="dxa"/>
          <w:left w:w="28" w:type="dxa"/>
          <w:bottom w:w="28" w:type="dxa"/>
          <w:right w:w="28" w:type="dxa"/>
        </w:tblCellMar>
      </w:tblPr>
      <w:tblGrid>
        <w:gridCol w:w="1234"/>
        <w:gridCol w:w="1082"/>
        <w:gridCol w:w="1089"/>
        <w:gridCol w:w="211"/>
        <w:gridCol w:w="721"/>
        <w:gridCol w:w="109"/>
        <w:gridCol w:w="109"/>
        <w:gridCol w:w="109"/>
        <w:gridCol w:w="109"/>
        <w:gridCol w:w="230"/>
        <w:gridCol w:w="787"/>
        <w:gridCol w:w="168"/>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December 31, </w:t>
              <w:br/>
              <w:t>2025</w:t>
            </w:r>
          </w:p>
        </w:tc>
      </w:tr>
      <w:tr>
        <w:trPr/>
        <w:tc>
          <w:tcPr>
            <w:tcW w:w="34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34,647 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45,459 </w:t>
            </w:r>
          </w:p>
        </w:tc>
        <w:tc>
          <w:tcPr>
            <w:tcW w:w="168"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8. Product Revenue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generate product revenue from sales of PYRUKYND® and AQVESME™ in the United States to a limited number of specialty distributors and specialty pharmacy providers, and from sales of PYRUKYND® to Avanzanite and NewBridge outside of the United States, or collectively, the Customers. These Customers subsequently resell PYRUKYND® and AQVESME™ to pharmacies or dispense PYRUKYND® and AQVESME™ directly to patients. In addition to distribution agreements with Customers, we enter into arrangements with healthcare providers and payors that provide for government-mandated and/or privately-negotiated rebates, chargebacks and discounts with respect to the purchase of PYRUKYND® and AQVESME™.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performance obligation related to the sale of PYRUKYND® and AQVESME™ is satisfied and revenue is recognized when the Customer obtains control of the product, which occurs at a point in time, typically upon delivery to the Customer.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Product revenue, net, was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tbl>
      <w:tblPr>
        <w:tblW w:w="7454" w:type="dxa"/>
        <w:jc w:val="left"/>
        <w:tblInd w:w="0" w:type="dxa"/>
        <w:tblLayout w:type="fixed"/>
        <w:tblCellMar>
          <w:top w:w="28" w:type="dxa"/>
          <w:left w:w="28" w:type="dxa"/>
          <w:bottom w:w="28" w:type="dxa"/>
          <w:right w:w="28" w:type="dxa"/>
        </w:tblCellMar>
      </w:tblPr>
      <w:tblGrid>
        <w:gridCol w:w="821"/>
        <w:gridCol w:w="721"/>
        <w:gridCol w:w="72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 net</w:t>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44,745 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12,455 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65,491 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54"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Reserves for Variable Consideration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Revenues from product sales are recorded at the net sales price, or transaction price, which includes estimates of variable consideration for which reserves are established and result from contractual adjustments, government rebates, returns and other allowances that are offered within the contracts with our Customers, healthcare providers, payors and other indirect customers relating to the sale of our products.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Contractual Adjustments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generally provide Customers with discounts, including prompt pay discounts, and allowances that are explicitly stated in the contracts and are recorded as a reduction of revenue in the period the related product revenue is recognized. In addition, we receive sales order management, data and distribution services from certain Customers.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Chargebacks and discounts represent the estimated obligations resulting from contractual commitments to sell products to qualified healthcare providers at prices lower than the list prices charged to Customers who directly purchase the product from us. Customers charge us for the difference between what they pay for the product and the ultimate selling price to the qualified healthcare providers. These reserves are estimated using the expected value method, based upon a range of possible outcomes that are probability-weighted for the estimated channel mix and are established in the same period that the related revenue is recognized, resulting in a reduction of product revenue.</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Government Rebates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Government rebates include Medicare, TriCare, and Medicaid rebates, which we estimate using the expected value method, based upon a range of possible outcomes that are probability-weighted for the estimated payor mix. These reserves are recorded in the same period the related revenue is recognized, resulting in a reduction of product revenue. For Medicare, we also estimate the number of patients for whom we will owe an additional liability under the Medicare Part D Manufacturer Discount Program.</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Returns / Replacement / Other Allowances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estimate the amount of product sales that may be returned by Customers or replaced by Agios, or other allowances for revenue not expected to be sold by Customers, and record these estimates as a reduction of revenue in the period the related product revenue is recognized. We currently estimate product return and replacement liabilities, and the revenue reserve related to other allowances using the expected value method, based on available industry data, including our visibility into the inventory remaining in the distribution channel.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balances and activity in each of the product revenue allowance and reserve categories for the six months ended June 30, 2026:</w:t>
      </w:r>
    </w:p>
    <w:tbl>
      <w:tblPr>
        <w:tblW w:w="10205" w:type="dxa"/>
        <w:jc w:val="left"/>
        <w:tblInd w:w="0" w:type="dxa"/>
        <w:tblLayout w:type="fixed"/>
        <w:tblCellMar>
          <w:top w:w="28" w:type="dxa"/>
          <w:left w:w="28" w:type="dxa"/>
          <w:bottom w:w="28" w:type="dxa"/>
          <w:right w:w="28" w:type="dxa"/>
        </w:tblCellMar>
      </w:tblPr>
      <w:tblGrid>
        <w:gridCol w:w="1292"/>
        <w:gridCol w:w="1043"/>
        <w:gridCol w:w="1043"/>
        <w:gridCol w:w="437"/>
        <w:gridCol w:w="965"/>
        <w:gridCol w:w="226"/>
        <w:gridCol w:w="109"/>
        <w:gridCol w:w="109"/>
        <w:gridCol w:w="109"/>
        <w:gridCol w:w="322"/>
        <w:gridCol w:w="942"/>
        <w:gridCol w:w="168"/>
        <w:gridCol w:w="109"/>
        <w:gridCol w:w="109"/>
        <w:gridCol w:w="109"/>
        <w:gridCol w:w="405"/>
        <w:gridCol w:w="1184"/>
        <w:gridCol w:w="209"/>
        <w:gridCol w:w="109"/>
        <w:gridCol w:w="109"/>
        <w:gridCol w:w="109"/>
        <w:gridCol w:w="211"/>
        <w:gridCol w:w="616"/>
        <w:gridCol w:w="161"/>
      </w:tblGrid>
      <w:tr>
        <w:trPr/>
        <w:tc>
          <w:tcPr>
            <w:tcW w:w="129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Contractual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Returns/ Replacement/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provisions relating to sales in the current year</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relating to prior years</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Payments/returns relating to sales in the current year</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Payments/returns relating to sales in the prior years</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8"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437"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2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68"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4"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5,173 </w:t>
            </w:r>
          </w:p>
        </w:tc>
        <w:tc>
          <w:tcPr>
            <w:tcW w:w="2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6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Total revenue-related reserves above, included in our condensed consolidated balance sheets, are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tbl>
      <w:tblPr>
        <w:tblW w:w="5830" w:type="dxa"/>
        <w:jc w:val="left"/>
        <w:tblInd w:w="0" w:type="dxa"/>
        <w:tblLayout w:type="fixed"/>
        <w:tblCellMar>
          <w:top w:w="28" w:type="dxa"/>
          <w:left w:w="28" w:type="dxa"/>
          <w:bottom w:w="28" w:type="dxa"/>
          <w:right w:w="28" w:type="dxa"/>
        </w:tblCellMar>
      </w:tblPr>
      <w:tblGrid>
        <w:gridCol w:w="1028"/>
        <w:gridCol w:w="902"/>
        <w:gridCol w:w="904"/>
        <w:gridCol w:w="253"/>
        <w:gridCol w:w="741"/>
        <w:gridCol w:w="131"/>
        <w:gridCol w:w="109"/>
        <w:gridCol w:w="109"/>
        <w:gridCol w:w="109"/>
        <w:gridCol w:w="332"/>
        <w:gridCol w:w="970"/>
        <w:gridCol w:w="242"/>
      </w:tblGrid>
      <w:tr>
        <w:trPr/>
        <w:tc>
          <w:tcPr>
            <w:tcW w:w="102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accounts receivable</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of contract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Component of accrued expenses </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revenue-related reserves</w:t>
            </w:r>
          </w:p>
        </w:tc>
        <w:tc>
          <w:tcPr>
            <w:tcW w:w="253"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3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242"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changes in our contract assets during the six months ended June 30, 2026:</w:t>
      </w:r>
    </w:p>
    <w:tbl>
      <w:tblPr>
        <w:tblW w:w="8133" w:type="dxa"/>
        <w:jc w:val="left"/>
        <w:tblInd w:w="0" w:type="dxa"/>
        <w:tblLayout w:type="fixed"/>
        <w:tblCellMar>
          <w:top w:w="28" w:type="dxa"/>
          <w:left w:w="28" w:type="dxa"/>
          <w:bottom w:w="28" w:type="dxa"/>
          <w:right w:w="28" w:type="dxa"/>
        </w:tblCellMar>
      </w:tblPr>
      <w:tblGrid>
        <w:gridCol w:w="843"/>
        <w:gridCol w:w="740"/>
        <w:gridCol w:w="742"/>
        <w:gridCol w:w="304"/>
        <w:gridCol w:w="1039"/>
        <w:gridCol w:w="157"/>
        <w:gridCol w:w="109"/>
        <w:gridCol w:w="109"/>
        <w:gridCol w:w="109"/>
        <w:gridCol w:w="211"/>
        <w:gridCol w:w="721"/>
        <w:gridCol w:w="109"/>
        <w:gridCol w:w="109"/>
        <w:gridCol w:w="109"/>
        <w:gridCol w:w="109"/>
        <w:gridCol w:w="211"/>
        <w:gridCol w:w="796"/>
        <w:gridCol w:w="109"/>
        <w:gridCol w:w="109"/>
        <w:gridCol w:w="109"/>
        <w:gridCol w:w="109"/>
        <w:gridCol w:w="227"/>
        <w:gridCol w:w="777"/>
        <w:gridCol w:w="166"/>
      </w:tblGrid>
      <w:tr>
        <w:trPr/>
        <w:tc>
          <w:tcPr>
            <w:tcW w:w="84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receivable, net </w:t>
            </w:r>
            <w:r>
              <w:rPr>
                <w:rFonts w:ascii="Times New Roman;serif" w:hAnsi="Times New Roman;serif"/>
                <w:b w:val="false"/>
                <w:color w:val="000000"/>
                <w:sz w:val="13"/>
              </w:rPr>
              <w:t>(1)</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Contract assets </w:t>
            </w:r>
            <w:r>
              <w:rPr>
                <w:rFonts w:ascii="Times New Roman;serif" w:hAnsi="Times New Roman;serif"/>
                <w:b w:val="false"/>
                <w:color w:val="000000"/>
                <w:sz w:val="13"/>
              </w:rPr>
              <w:t>(2)</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assets</w:t>
            </w:r>
          </w:p>
        </w:tc>
        <w:tc>
          <w:tcPr>
            <w:tcW w:w="30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10,577 </w:t>
            </w:r>
          </w:p>
        </w:tc>
        <w:tc>
          <w:tcPr>
            <w:tcW w:w="157"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71,230 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(57,591)</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24,216 </w:t>
            </w:r>
          </w:p>
        </w:tc>
        <w:tc>
          <w:tcPr>
            <w:tcW w:w="16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Additions to accounts receivable, net relate to amounts billed to Customers for product sales and deductions from accounts receivable, net primarily relate to collection of receivables during the reporting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Additions to contract assets relate to amounts unbilled to Customers for net product sales, and deductions from contract assets relate to amounts billed to Customers for product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9. Share-Based Payments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2023 Stock Incentive Plan and Inducement Grants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2023, our stockholders approved the 2023 Stock Incentive Plan, or the 2023 Plan. The 2023 Plan provides for the grant of incentive stock options, nonstatutory stock options, stock appreciation rights, restricted stock awards, restricted stock units, or RSUs, performance-based stock units, or PSUs, and other stock-based awards to employees, advisors, consultants and non-employee directors.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Following the adoption of the 2023 Plan, we ceased granting equity awards under the 2013 Stock Incentive Plan, or the 2013 Plan. Any outstanding equity awards that were previously granted under the 2013 Plan continue to be governed by their terms. Following adoption of the 2013 Plan, we ceased granting equity awards under the 2007 Stock Incentive Plan, or the 2007 Plan. There are no outstanding equity awards under the 2007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start of employment of our Chief Executive Officer and Chief Financial Officer in 2022, our Chief Commercial Officer in 2023, and our Chief Corporate Development and Strategy Officer in March 2025, our Board of Directors granted each of them equity awards in the form of stock options, RSUs and PSUs, which awards were made outside our equity incentive plans as inducements material to their respective entry into employment with us in accordance with Nasdaq Listing Rule 5635(c)(4).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 maximum number of shares reserved under the 2013 Plan, the 2023 Plan and the inducement grants described above was 13,242,570, and we had 4,014,743 shares available for future issuance under the 2023 Plan.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stock option activity for the six months ended June 30, 2026:</w:t>
      </w:r>
    </w:p>
    <w:tbl>
      <w:tblPr>
        <w:tblW w:w="6960" w:type="dxa"/>
        <w:jc w:val="left"/>
        <w:tblInd w:w="0" w:type="dxa"/>
        <w:tblLayout w:type="fixed"/>
        <w:tblCellMar>
          <w:top w:w="28" w:type="dxa"/>
          <w:left w:w="28" w:type="dxa"/>
          <w:bottom w:w="28" w:type="dxa"/>
          <w:right w:w="28" w:type="dxa"/>
        </w:tblCellMar>
      </w:tblPr>
      <w:tblGrid>
        <w:gridCol w:w="1364"/>
        <w:gridCol w:w="1197"/>
        <w:gridCol w:w="1204"/>
        <w:gridCol w:w="488"/>
        <w:gridCol w:w="488"/>
        <w:gridCol w:w="376"/>
        <w:gridCol w:w="109"/>
        <w:gridCol w:w="109"/>
        <w:gridCol w:w="109"/>
        <w:gridCol w:w="326"/>
        <w:gridCol w:w="951"/>
        <w:gridCol w:w="239"/>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 Price</w:t>
            </w:r>
          </w:p>
        </w:tc>
      </w:tr>
      <w:tr>
        <w:trPr/>
        <w:tc>
          <w:tcPr>
            <w:tcW w:w="37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6,113,063 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851,777 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(115,910)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(168,230)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(128,627)</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6,552,073 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4,629,494 </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41.19 </w:t>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June 30, 2026</w:t>
            </w:r>
          </w:p>
        </w:tc>
        <w:tc>
          <w:tcPr>
            <w:tcW w:w="976"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6,552,073 </w:t>
            </w:r>
          </w:p>
        </w:tc>
        <w:tc>
          <w:tcPr>
            <w:tcW w:w="37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23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At June 30, 2026, there was approximately $32.2 million of total unrecognized compensation expense related to unvested stock option awards, which we expect to recognize over a weighted-average period of approximately 2.60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RSU activity for the six months ended June 30, 2026:</w:t>
      </w:r>
    </w:p>
    <w:tbl>
      <w:tblPr>
        <w:tblW w:w="6370" w:type="dxa"/>
        <w:jc w:val="left"/>
        <w:tblInd w:w="0" w:type="dxa"/>
        <w:tblLayout w:type="fixed"/>
        <w:tblCellMar>
          <w:top w:w="28" w:type="dxa"/>
          <w:left w:w="28" w:type="dxa"/>
          <w:bottom w:w="28" w:type="dxa"/>
          <w:right w:w="28" w:type="dxa"/>
        </w:tblCellMar>
      </w:tblPr>
      <w:tblGrid>
        <w:gridCol w:w="1173"/>
        <w:gridCol w:w="1030"/>
        <w:gridCol w:w="1037"/>
        <w:gridCol w:w="488"/>
        <w:gridCol w:w="488"/>
        <w:gridCol w:w="311"/>
        <w:gridCol w:w="109"/>
        <w:gridCol w:w="109"/>
        <w:gridCol w:w="109"/>
        <w:gridCol w:w="326"/>
        <w:gridCol w:w="951"/>
        <w:gridCol w:w="239"/>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Grant Date Fair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w:t>
            </w:r>
          </w:p>
        </w:tc>
      </w:tr>
      <w:tr>
        <w:trPr/>
        <w:tc>
          <w:tcPr>
            <w:tcW w:w="3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shares at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2,007,463 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1,258,034 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(871,391)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(207,202)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shares at June 30, 2026</w:t>
            </w:r>
          </w:p>
        </w:tc>
        <w:tc>
          <w:tcPr>
            <w:tcW w:w="976"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2,186,904 </w:t>
            </w:r>
          </w:p>
        </w:tc>
        <w:tc>
          <w:tcPr>
            <w:tcW w:w="3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23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$54.1 million of total unrecognized compensation expense related to RSUs, which we expect to recognize over a weighted-average period of approximately 2.04 years.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Performance-based stock units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PSU activity for the six months ended June 30, 2026:</w:t>
      </w:r>
    </w:p>
    <w:tbl>
      <w:tblPr>
        <w:tblW w:w="6294" w:type="dxa"/>
        <w:jc w:val="left"/>
        <w:tblInd w:w="0" w:type="dxa"/>
        <w:tblLayout w:type="fixed"/>
        <w:tblCellMar>
          <w:top w:w="28" w:type="dxa"/>
          <w:left w:w="28" w:type="dxa"/>
          <w:bottom w:w="28" w:type="dxa"/>
          <w:right w:w="28" w:type="dxa"/>
        </w:tblCellMar>
      </w:tblPr>
      <w:tblGrid>
        <w:gridCol w:w="1173"/>
        <w:gridCol w:w="1030"/>
        <w:gridCol w:w="1037"/>
        <w:gridCol w:w="449"/>
        <w:gridCol w:w="451"/>
        <w:gridCol w:w="311"/>
        <w:gridCol w:w="109"/>
        <w:gridCol w:w="109"/>
        <w:gridCol w:w="109"/>
        <w:gridCol w:w="326"/>
        <w:gridCol w:w="951"/>
        <w:gridCol w:w="239"/>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Grant Date Fair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w:t>
            </w:r>
          </w:p>
        </w:tc>
      </w:tr>
      <w:tr>
        <w:trPr/>
        <w:tc>
          <w:tcPr>
            <w:tcW w:w="3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shares at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shares at June 30, 2026</w:t>
            </w:r>
          </w:p>
        </w:tc>
        <w:tc>
          <w:tcPr>
            <w:tcW w:w="900" w:type="dxa"/>
            <w:gridSpan w:val="2"/>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357,350 </w:t>
            </w:r>
          </w:p>
        </w:tc>
        <w:tc>
          <w:tcPr>
            <w:tcW w:w="3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32.02 </w:t>
            </w:r>
          </w:p>
        </w:tc>
        <w:tc>
          <w:tcPr>
            <w:tcW w:w="23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associated with PSUs is recognized if the underlying performance condition is considered probable of achievement using our management’s best estimates. For PSUs that also have a service period requirement, stock-based compensation expense is recognized over the service period once the underlying performance condition is considered probable of achievement using our management's best estimates.</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unvested shares were 61,812 shares with performance conditions that were considered probable of achievement at June 30, 2026, but which also have a service period requirement until December 31, 2027. As of June 30, 2026, there was approximately $1.1 million of total unrecognized compensation expense related to these PSUs. </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$9.4 million of total unrecognized compensation expense related to PSUs with performance-based vesting criteria that are considered not probable of achievement.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Market-based stock units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issued certain equity awards that contain market-based vesting conditions, in which shares of stock are earned at vesting based on total shareholder return compared to an industry stock index. The fair value of market-based stock units, or MSUs, is estimated using a Monte Carlo simulation model. Assumptions and estimates utilized in the model include the risk-free interest rate, dividend yield, expected stock volatility and the service period.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MSU activity for the six months ended June 30, 2026:</w:t>
      </w:r>
    </w:p>
    <w:tbl>
      <w:tblPr>
        <w:tblW w:w="6220" w:type="dxa"/>
        <w:jc w:val="left"/>
        <w:tblInd w:w="0" w:type="dxa"/>
        <w:tblLayout w:type="fixed"/>
        <w:tblCellMar>
          <w:top w:w="28" w:type="dxa"/>
          <w:left w:w="28" w:type="dxa"/>
          <w:bottom w:w="28" w:type="dxa"/>
          <w:right w:w="28" w:type="dxa"/>
        </w:tblCellMar>
      </w:tblPr>
      <w:tblGrid>
        <w:gridCol w:w="1173"/>
        <w:gridCol w:w="1030"/>
        <w:gridCol w:w="1037"/>
        <w:gridCol w:w="413"/>
        <w:gridCol w:w="413"/>
        <w:gridCol w:w="311"/>
        <w:gridCol w:w="109"/>
        <w:gridCol w:w="109"/>
        <w:gridCol w:w="109"/>
        <w:gridCol w:w="326"/>
        <w:gridCol w:w="951"/>
        <w:gridCol w:w="239"/>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Grant Date Fair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w:t>
            </w:r>
          </w:p>
        </w:tc>
      </w:tr>
      <w:tr>
        <w:trPr/>
        <w:tc>
          <w:tcPr>
            <w:tcW w:w="3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shares at December 31,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shares at June 30, 2026</w:t>
            </w:r>
          </w:p>
        </w:tc>
        <w:tc>
          <w:tcPr>
            <w:tcW w:w="826"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131,500 </w:t>
            </w:r>
          </w:p>
        </w:tc>
        <w:tc>
          <w:tcPr>
            <w:tcW w:w="3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49.34 </w:t>
            </w:r>
          </w:p>
        </w:tc>
        <w:tc>
          <w:tcPr>
            <w:tcW w:w="23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$5.7 million of unrecognized compensation expense related to MSUs with market-based vesting criteria, which we expect to recognize over a weighted-average period of approximately 2.50 years.</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Amended and Restated 2013 Employee Stock Purchase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2013, our Board of Directors adopted, and in July 2013 our stockholders approved, the 2013 Employee Stock Purchase Plan, or 2013 ESPP, which was further amended and restated by our Board of Directors in December 2024. We issued and sold 65,809 and 52,092 shares of common stock during the six months ended June 30, 2026 and 2025, respectively, under the 2013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ESPP. The 2013 ESPP provides participating employees with the opportunity to purchase up to an aggregate of 2,363,636 shares of our common stock. As of June 30, 2026, we had 1,384,142 shares of common stock available for future issuance under the 2013 ESPP.</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by award type included within the condensed consolidated statements of operations is as follows:</w:t>
      </w:r>
    </w:p>
    <w:tbl>
      <w:tblPr>
        <w:tblW w:w="8640" w:type="dxa"/>
        <w:jc w:val="left"/>
        <w:tblInd w:w="0" w:type="dxa"/>
        <w:tblLayout w:type="fixed"/>
        <w:tblCellMar>
          <w:top w:w="28" w:type="dxa"/>
          <w:left w:w="28" w:type="dxa"/>
          <w:bottom w:w="28" w:type="dxa"/>
          <w:right w:w="28" w:type="dxa"/>
        </w:tblCellMar>
      </w:tblPr>
      <w:tblGrid>
        <w:gridCol w:w="1251"/>
        <w:gridCol w:w="1098"/>
        <w:gridCol w:w="1101"/>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Market-based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15,941 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31,482 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26,051 </w:t>
            </w:r>
          </w:p>
        </w:tc>
        <w:tc>
          <w:tcPr>
            <w:tcW w:w="154"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Expenses related to stock options and stock-based awards were allocated as follows in the condensed consolidated statements of operations:</w:t>
      </w:r>
    </w:p>
    <w:tbl>
      <w:tblPr>
        <w:tblW w:w="8849" w:type="dxa"/>
        <w:jc w:val="left"/>
        <w:tblInd w:w="0" w:type="dxa"/>
        <w:tblLayout w:type="fixed"/>
        <w:tblCellMar>
          <w:top w:w="28" w:type="dxa"/>
          <w:left w:w="28" w:type="dxa"/>
          <w:bottom w:w="28" w:type="dxa"/>
          <w:right w:w="28" w:type="dxa"/>
        </w:tblCellMar>
      </w:tblPr>
      <w:tblGrid>
        <w:gridCol w:w="1323"/>
        <w:gridCol w:w="1163"/>
        <w:gridCol w:w="117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15,941 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14,692 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31,482 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26,051 </w:t>
            </w:r>
          </w:p>
        </w:tc>
        <w:tc>
          <w:tcPr>
            <w:tcW w:w="1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10. Net Loss per Share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by the weighted-average shares outstanding during the period, without consideration for common stock equivalents. Diluted net loss per share is calculated by adjusting the weighted-average shares outstanding for the dilutive effect of common stock equivalents outstanding for the period, determined using the treasury stock method. For purposes of the dilutive net loss per share calculation, stock options, RSUs, PSUs and MSUs for which the performance and market vesting conditions, respectively, have been deemed probable, and 2013 ESPP shares are considered to be common stock equivalents, while PSUs and MSUs with performance and market vesting conditions, respectively, that were not deemed probable as of June 30, 2026 are not considered to be common stock equivalents.</w:t>
      </w:r>
    </w:p>
    <w:p>
      <w:pPr>
        <w:pStyle w:val="TextBody"/>
        <w:bidi w:val="0"/>
        <w:spacing w:lineRule="auto" w:line="288" w:before="120" w:after="120"/>
        <w:jc w:val="both"/>
        <w:rPr>
          <w:rFonts w:ascii="Times New Roman;serif" w:hAnsi="Times New Roman;serif"/>
          <w:b w:val="false"/>
          <w:color w:val="000000"/>
          <w:sz w:val="20"/>
        </w:rPr>
      </w:pPr>
      <w:bookmarkStart w:id="0" w:name="if8517ae1f26a48c6a6c9b9e0191d0169_1764"/>
      <w:bookmarkEnd w:id="0"/>
      <w:r>
        <w:rPr>
          <w:rFonts w:ascii="Times New Roman;serif" w:hAnsi="Times New Roman;serif"/>
          <w:b w:val="false"/>
          <w:color w:val="000000"/>
          <w:sz w:val="20"/>
        </w:rPr>
        <w:t>We utilize the control number concept in the computation of diluted earnings per share to determine whether potential common stock equivalents are dilutive. The control number used is net loss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 Since we had a net loss for all periods presented, no dilutive effect was recognized in the calculation of loss per share and basic and diluted net loss per share was the same for those periods.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common stock equivalents were excluded from the calculation of diluted net loss per share applicable to common stockholders for the periods indicated because including them would have had an anti-dilutive effect:</w:t>
      </w:r>
    </w:p>
    <w:tbl>
      <w:tblPr>
        <w:tblW w:w="7184" w:type="dxa"/>
        <w:jc w:val="left"/>
        <w:tblInd w:w="0" w:type="dxa"/>
        <w:tblLayout w:type="fixed"/>
        <w:tblCellMar>
          <w:top w:w="28" w:type="dxa"/>
          <w:left w:w="28" w:type="dxa"/>
          <w:bottom w:w="28" w:type="dxa"/>
          <w:right w:w="28" w:type="dxa"/>
        </w:tblCellMar>
      </w:tblPr>
      <w:tblGrid>
        <w:gridCol w:w="1134"/>
        <w:gridCol w:w="996"/>
        <w:gridCol w:w="1005"/>
        <w:gridCol w:w="678"/>
        <w:gridCol w:w="316"/>
        <w:gridCol w:w="316"/>
        <w:gridCol w:w="316"/>
        <w:gridCol w:w="316"/>
        <w:gridCol w:w="316"/>
        <w:gridCol w:w="678"/>
        <w:gridCol w:w="316"/>
        <w:gridCol w:w="316"/>
        <w:gridCol w:w="109"/>
        <w:gridCol w:w="109"/>
        <w:gridCol w:w="109"/>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and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6,552,073 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6,424,575 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2,186,904 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2,096,123 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stock units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shares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equivalents</w:t>
            </w:r>
          </w:p>
        </w:tc>
        <w:tc>
          <w:tcPr>
            <w:tcW w:w="994"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8,836,116 </w:t>
            </w:r>
          </w:p>
        </w:tc>
        <w:tc>
          <w:tcPr>
            <w:tcW w:w="31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8,566,269 </w:t>
            </w:r>
          </w:p>
        </w:tc>
        <w:tc>
          <w:tcPr>
            <w:tcW w:w="31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Operating segments are identified as components of an enterprise about which separate discrete financial information is available for evaluation by the chief operating decision maker, or CODM, or decision-making group in making decisions on how to allocate resources and assess performance. Our CODM is our CEO. Our CEO views our operations and manages our business as one operating segment, which derives its revenues from the development and commercialization of therapies for patients with rare diseases.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CEO manages and allocates resources to the operations of our company on a total company basis by assessing the overall level of resources available and how to best deploy these resources across functions and research and development projects that are in line with our long-term company-wide strategic goals. In making these decisions, our CEO uses consolidated financial information for purposes of evaluating performance, forecasting future period financial results, allocating resources and setting incentive targets. The CODM performs this assessment based on our consolidated net (loss) income. Through this analysis, the CODM assesses performance by comparing actual consolidated net (loss) income versus the budget, and then decides how to allocate resources to invest in our research and development programs. The measure of segment assets is reported on the condensed consolidated balance sheets as total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additional information on our consolidated revenue and net loss, including significant segment expenses:</w:t>
      </w:r>
    </w:p>
    <w:tbl>
      <w:tblPr>
        <w:tblW w:w="10205" w:type="dxa"/>
        <w:jc w:val="left"/>
        <w:tblInd w:w="0" w:type="dxa"/>
        <w:tblLayout w:type="fixed"/>
        <w:tblCellMar>
          <w:top w:w="28" w:type="dxa"/>
          <w:left w:w="28" w:type="dxa"/>
          <w:bottom w:w="28" w:type="dxa"/>
          <w:right w:w="28" w:type="dxa"/>
        </w:tblCellMar>
      </w:tblPr>
      <w:tblGrid>
        <w:gridCol w:w="1711"/>
        <w:gridCol w:w="1243"/>
        <w:gridCol w:w="1246"/>
        <w:gridCol w:w="211"/>
        <w:gridCol w:w="869"/>
        <w:gridCol w:w="109"/>
        <w:gridCol w:w="109"/>
        <w:gridCol w:w="109"/>
        <w:gridCol w:w="109"/>
        <w:gridCol w:w="211"/>
        <w:gridCol w:w="869"/>
        <w:gridCol w:w="109"/>
        <w:gridCol w:w="109"/>
        <w:gridCol w:w="109"/>
        <w:gridCol w:w="109"/>
        <w:gridCol w:w="211"/>
        <w:gridCol w:w="869"/>
        <w:gridCol w:w="109"/>
        <w:gridCol w:w="109"/>
        <w:gridCol w:w="109"/>
        <w:gridCol w:w="109"/>
        <w:gridCol w:w="211"/>
        <w:gridCol w:w="869"/>
        <w:gridCol w:w="109"/>
        <w:gridCol w:w="109"/>
        <w:gridCol w:w="159"/>
      </w:tblGrid>
      <w:tr>
        <w:trPr/>
        <w:tc>
          <w:tcPr>
            <w:tcW w:w="171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 - U.S.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 - Rest of world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PK activator (PYRUKYND®/AQVESME™) direct expenses - research and development</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expenses - research and development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(100,703)</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(199,814)</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(201,309)</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16"/>
        </w:rPr>
      </w:pPr>
      <w:r>
        <w:rPr>
          <w:rFonts w:ascii="Times New Roman;serif" w:hAnsi="Times New Roman;serif"/>
          <w:b w:val="false"/>
          <w:color w:val="000000"/>
          <w:sz w:val="16"/>
        </w:rPr>
        <w:t>*Other segment items primarily include cost of sales, other research and development expenses, and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120" w:after="283"/>
        <w:jc w:val="both"/>
        <w:rPr/>
      </w:pPr>
      <w:r>
        <w:rPr>
          <w:rFonts w:ascii="Times New Roman;serif" w:hAnsi="Times New Roman;serif"/>
          <w:b w:val="false"/>
          <w:color w:val="000000"/>
          <w:sz w:val="20"/>
        </w:rPr>
        <w:t xml:space="preserve">The following discussion of our financial condition and results of operations should be read in conjunction with our unaudited condensed consolidated financial statements as of June 30, 2026 and for the three and six months ended June 30, 2026 and 2025, and related notes included in Part I, Item 1 of this Quarterly Report on Form 10-Q, as well as the audited consolidated financial statements and notes and Management’s Discussion and Analysis of Financial Condition and Results of Operations, included in our Annual Report on Form 10-K for the year ended December 31, 2025 filed with the SEC on February 12, 2026. This Management’s Discussion and Analysis of Financial Condition and Results of Operations contains forward-looking statements within the meaning of the Private Securities Litigation Reform Act of 1995. These forward-looking statements are based on current expectations, estimates, forecasts and projections, and the beliefs and assumptions of our management, and include, without limitation, statements with respect to our expectations regarding our research, development and commercialization plans and prospects, results of operations, selling, general and administrative expenses, research and development expenses, and the sufficiency of our cash for future operations. Words such as “aim,” “anticipate,” “believe,” “continue,” “could,” “estimate,” “expect,” “goal,” “intend,” “may,” “might,” “plan,” “potential,” “predict,” “project,” “should,” “strategy,” “target,” “vision,” “will,” “would” or the negatives of these words and similar expressions are intended to identify these forward-looking statements, although not all forward-looking statements contain these identifying words. Readers are cautioned that these forward-looking statements are predictions and are subject to risks, uncertainties and assumptions that are difficult to predict. Therefore, actual results may differ materially and adversely from those expressed in any forward-looking statements. Among the important factors that could cause actual results to differ materially from those indicated by our forward-looking statements are those discussed under the heading </w:t>
      </w:r>
      <w:hyperlink w:anchor="if99e15f3b853459c94ad88039f898d82_109">
        <w:r>
          <w:rPr>
            <w:rStyle w:val="InternetLink"/>
            <w:rFonts w:ascii="Times New Roman;serif" w:hAnsi="Times New Roman;serif"/>
            <w:b w:val="false"/>
            <w:strike w:val="false"/>
            <w:dstrike w:val="false"/>
            <w:color w:val="000000"/>
            <w:sz w:val="20"/>
            <w:u w:val="none"/>
            <w:effect w:val="none"/>
          </w:rPr>
          <w:t>“Risk Factors”</w:t>
        </w:r>
      </w:hyperlink>
      <w:r>
        <w:rPr>
          <w:rFonts w:ascii="Times New Roman;serif" w:hAnsi="Times New Roman;serif"/>
          <w:b w:val="false"/>
          <w:color w:val="000000"/>
          <w:sz w:val="20"/>
        </w:rPr>
        <w:t xml:space="preserve"> in Part II, Item 1A and elsewhere in this report, and in our Annual Report on Form 10-K for the year ended December 31, 2025. We undertake no obligation to revise the forward-looking statements contained herein to reflect events or circumstances after the date hereof or to reflect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dedicated to redefining the future of rare disease treatment. Fueled by connections, we build trusted partnerships with communities, collaborating to develop and deliver innovative medicines that have the potential to transform lives. With a foundation in hematology, we combine biological expertise with real-world insights to advance a growing pipeline of rare disease medicines that reflect the priorities of the people we serve.</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The lead product candidate in our portfolio, mitapivat, is an activator of both wild-type and mutant pyruvate kinase, or PK, enzymes for the potential treatment of hemolytic anemias. Mitapivat is approved under the brand name AQVESME™ in the United States for the treatment of anemia in adults with non-transfusion dependent and transfusion-dependent alpha- or beta-thalassemia. Mitapivat is approved under the brand name PYRUKYND®: in the United States for the treatment of hemolytic anemia in adults with PK deficiency; in the European Union, or EU, for the treatment of PK deficiency and for the treatment of non-transfusion dependent and transfusion dependent alpha- or beta-thalassemia in adult patients; in the Kingdom of Saudi Arabia for the treatment of adults with non-transfusion dependent and transfusion-dependent alpha- or beta-thalassemia; in the United Arab Emirates for the treatment of non-transfusion-dependent and transfusion-dependent alpha- or beta-thalassemia in adult patients; and in Great Britain for the treatment of PK deficiency in adult patients.</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We submitted a supplemental New Drug Application, or sNDA, for the U.S. accelerated approval of mitapivat in sickle cell disease, or SCD, in May 2026, which was accepted with priority review by the FDA and granted a Prescription Drug User Fee Act, or PDUFA, goal date of November 1, 2026. To support this accelerated approval pathway, we initiated REIGNITE, a phase 3 confirmatory trial designed to demonstrate the clinical benefit of mitapivat on reducing transfusion burden in patients with SCD aged 12 years or older. Additionally, in the second quarter of 2026 we filed for regulatory approval for SCD in the Kingdom of Saudi Arabia.</w:t>
      </w:r>
    </w:p>
    <w:p>
      <w:pPr>
        <w:pStyle w:val="TextBody"/>
        <w:bidi w:val="0"/>
        <w:spacing w:lineRule="auto" w:line="268" w:before="120" w:after="180"/>
        <w:jc w:val="both"/>
        <w:rPr>
          <w:rFonts w:ascii="Times New Roman;serif" w:hAnsi="Times New Roman;serif"/>
          <w:b w:val="false"/>
          <w:color w:val="000000"/>
          <w:sz w:val="20"/>
        </w:rPr>
      </w:pPr>
      <w:r>
        <w:rPr>
          <w:rFonts w:ascii="Times New Roman;serif" w:hAnsi="Times New Roman;serif"/>
          <w:b w:val="false"/>
          <w:color w:val="000000"/>
          <w:sz w:val="20"/>
        </w:rPr>
        <w:t>We are also developing (i) AG-181, our phenylalanine hydroxylase, or PAH, stabilizer for the potential treatment of phenylketonuria, or PKU; (ii) AG-236, an siRNA in-licensed from Alnylam Pharmaceuticals, Inc., or Alnylam, targeting the transmembrane serine protease 6, or TMPRSS6, gene for the potential treatment of polycythemia vera, or PV; and (iii) cevidoplenib, an oral spleen tyrosine kinase, or SYK, inhibitor in-licensed from Oscotec Inc., or Oscotec, for the potential treatment of immune thrombocytopenia, or ITP, and other autoimmune indications.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Oscotec License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1, 2026, we entered into a license agreement with Oscotec, a South Korean biopharmaceutical company, under which Agios acquired the worldwide rights (subject to Oscotec’s right to opt-in to develop and commercialize cevidoplenib in South Korea) to develop, manufacture, and commercialize cevidoplenib as a potential treatment for ITP and other autoimmune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20" w:after="120"/>
        <w:jc w:val="both"/>
        <w:rPr/>
      </w:pPr>
      <w:r>
        <w:rPr>
          <w:rFonts w:ascii="Times New Roman;serif" w:hAnsi="Times New Roman;serif"/>
          <w:b w:val="false"/>
          <w:color w:val="000000"/>
          <w:sz w:val="20"/>
        </w:rPr>
        <w:t xml:space="preserve">indications. Because the acquired assets do not meet the definition of a business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Agios will account for the agreement as an asset acquisition.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the agreement, in the three months ended June 30, 2026, Agios made an up-front payment to Oscotec and recognized in-process research and development of $25.0 million, which was recorded in research and development expense within our Consolidated Statements of Operations and classified as investing activities within our Consolidated Statements of Cash Flows. In addition, Agios is responsible to pay up to $140.0 million in potential development and regulatory milestones in the U.S. and Europe, in addition to sales milestones as well as tiered royalties on future net sales, if any, of licensed products, which may be subject to specified reductions and offsets.</w:t>
      </w:r>
    </w:p>
    <w:p>
      <w:pPr>
        <w:pStyle w:val="TextBody"/>
        <w:bidi w:val="0"/>
        <w:spacing w:lineRule="auto" w:line="268" w:before="180" w:after="120"/>
        <w:jc w:val="both"/>
        <w:rPr>
          <w:rFonts w:ascii="Times New Roman;serif" w:hAnsi="Times New Roman;serif"/>
          <w:b/>
          <w:i/>
          <w:color w:val="000000"/>
          <w:sz w:val="20"/>
        </w:rPr>
      </w:pPr>
      <w:r>
        <w:rPr>
          <w:rFonts w:ascii="Times New Roman;serif" w:hAnsi="Times New Roman;serif"/>
          <w:b/>
          <w:i/>
          <w:color w:val="000000"/>
          <w:sz w:val="20"/>
        </w:rPr>
        <w:t>Sale of Oncology Business to Servier Pharmaceuticals, LLC (Servier) and Sale of Contingent Payments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March 2021, we completed the sale of our oncology business to Servier Pharmaceuticals, LLC, or Servier. The transaction included the sale of our entire oncology business, including our clinical-stage product candidate vorasidenib, and included a royalty of 15% of U.S. net sales of vorasidenib from the first commercial sale of vorasidenib through loss of exclusivity, or the Vorasidenib Royalty Rights. The Vorasidenib Royalty Rights are referred to as contingent payments and recognized as income when realizable.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May 2024, we entered into a purchase and sale agreement to sell the Vorasidenib Royalty Rights to Royalty Pharma Investments 2019 ICAV, or Royalty Pharma. The sale was contingent upon FDA approval of vorasidenib and other customary closing conditions.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Upon consummation of the sale in August 2024, Royalty Pharma acquired 100% of the Vorasidenib Royalty Rights payments made by Servier on account of up to $1.0 billion in U.S. net sales for each calendar year. In addition, any such Vorasidenib Royalty Rights payments made by Servier on account of U.S. net sales in each calendar year in excess of $1.0 billion will be split, with Royalty Pharma having the rights to a 12% earn-out on those excess payments and Agios retaining the rights to a 3% earn-out on those excess payments, or the Retained Earn-Out Rights. Royalty income related to the Retained Earn-Out Rights, if any, will be recognized in the period when realizable.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Since inception, our operations have primarily focused on organizing and staffing our company, business planning, raising capital, assembling our core capabilities in cellular metabolism and classical hematology, identifying potential product candidates, undertaking preclinical studies, conducting clinical trials, establishing a commercial infrastructure, preparing for and executing on the commercial launches of PYRUKYND® and AQVESME™ and, prior to the sale of our oncology business to Servier in March 2021, marketing TIBSOVO® and IDHIFA®. Through March 2021, we financed our operations primarily through proceeds from the sale of our royalty rights, commercial sales of TIBSOVO®, funding received from our collaboration agreements, private placements of our preferred stock, our initial public offering of our common stock and concurrent private placement of common stock to an affiliate of Celgene, and our follow-on public offerings. Following the sale of our oncology business to Servier in March 2021, we have financed and expect to continue to finance our operations primarily through cash on hand, potential royalty payments with respect to the Retained Earn-Out Rights, the actual and potential future sales of PYRUKYND® and AQVESME™ and, potentially, collaborations, strategic alliances, licensing arrangements and other nondilutive strategic transactions. In addition, we may pursue opportunistic debt offerings, and equity or equity-linked offerings.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since inception, we have historically incurred significant operating losses. Our net loss for the six months ended June 30, 2026 was $199.8 million and for the six months ended June 30, 2025 was $201.3 million. As of June 30, 2026, we had an accumulated deficit of $761.5 million. We expect to continue to incur significant expenses and net losses until such time we are able to report profitable results. We may never achieve or maintain profitability, and our net losses may fluctuate significantly from year to year. We expect that we will continue to incur significant expenses as we continue to advance and expand our commercialization activities for PYRUKYND® and AQVESME™; continue to advance clinical development and regulatory activities for mitapivat, AG-181, AG-236 and cevidoplenib; expand and protect our intellectual property portfolio, including by in-licensing or acquiring assets for pipeline growth; and hire additional commercial and development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before="0" w:after="0"/>
        <w:jc w:val="both"/>
        <w:rPr/>
      </w:pPr>
      <w:r>
        <w:rPr/>
      </w:r>
    </w:p>
    <w:p>
      <w:pPr>
        <w:pStyle w:val="TextBody"/>
        <w:bidi w:val="0"/>
        <w:spacing w:lineRule="auto" w:line="240" w:before="0" w:after="12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wholly owned product, PYRUKYND®, received approval from the FDA on February 17, 2022, for the treatment of hemolytic anemia in adults with PK deficiency in the United States. Our wholly owned product, AQVESME™, received approval from the FDA on December 23, 2025, for the treatment of anemia in both non-transfusion-dependent and transfusion-dependent alpha- or beta-thalassemia in the United States. Upon FDA approval of PYRUKYND® and AQVESME™ in the United States, we began generating product revenue from sales of PYRUKYND® and AQVESME™, respectively. We sell PYRUKYND® and AQVESME™ in the United States to a limited number of specialty distributors and specialty pharmacy providers. These customers subsequently resell PYRUKYND® and AQVESME™ to pharmacies or dispense PYRUKYND® and AQVESME™ directly to patients. In addition to distribution agreements with these customers, we enter into arrangements with healthcare providers and payors that provide for government-mandated and/or privately-negotiated rebates, chargebacks and discounts with respect to the purchase of PYRUKYND® and AQVESME™. </w:t>
      </w:r>
    </w:p>
    <w:p>
      <w:pPr>
        <w:pStyle w:val="TextBody"/>
        <w:bidi w:val="0"/>
        <w:spacing w:lineRule="auto" w:line="288" w:before="0" w:after="120"/>
        <w:jc w:val="both"/>
        <w:rPr/>
      </w:pPr>
      <w:r>
        <w:rPr>
          <w:rFonts w:ascii="Times New Roman;serif" w:hAnsi="Times New Roman;serif"/>
          <w:b w:val="false"/>
          <w:color w:val="000000"/>
          <w:sz w:val="20"/>
        </w:rPr>
        <w:t xml:space="preserve">In July 2024, we entered into a distribution agreement, or the NewBridge Agreement, with NewBridge Pharmaceuticals FZ-LLC, or NewBridge, pursuant to which we granted NewBridge the right to commercialize PYRUKYND® in Bahrain, Kuwait, Oman, Qatar, Saudi Arabia, and the United Arab Emirates, also known as the Gulf Council Countries, or GCC. In June 2025, we entered into a distribution agreement, or the Avanzanite Agreement, with Avanzanite Bioscience B.V., or Avanzanite, pursuant to which we granted Avanzanite the right to commercialize PYRUKYND® in the European Economic Area, Switzerland, and the U.K. For further discussion of our revenue recognition policy, see </w:t>
      </w:r>
      <w:hyperlink w:anchor="if99e15f3b853459c94ad88039f898d82_61">
        <w:r>
          <w:rPr>
            <w:rStyle w:val="InternetLink"/>
            <w:rFonts w:ascii="Times New Roman;serif" w:hAnsi="Times New Roman;serif"/>
            <w:b w:val="false"/>
            <w:strike w:val="false"/>
            <w:dstrike w:val="false"/>
            <w:color w:val="000000"/>
            <w:sz w:val="20"/>
            <w:u w:val="none"/>
            <w:effect w:val="none"/>
          </w:rPr>
          <w:t xml:space="preserve">Note 8, </w:t>
        </w:r>
      </w:hyperlink>
      <w:hyperlink w:anchor="if99e15f3b853459c94ad88039f898d82_61">
        <w:r>
          <w:rPr>
            <w:rStyle w:val="InternetLink"/>
            <w:rFonts w:ascii="Times New Roman;serif" w:hAnsi="Times New Roman;serif"/>
            <w:b w:val="false"/>
            <w:i/>
            <w:strike w:val="false"/>
            <w:dstrike w:val="false"/>
            <w:color w:val="000000"/>
            <w:sz w:val="20"/>
            <w:u w:val="none"/>
            <w:effect w:val="none"/>
          </w:rPr>
          <w:t>Product Revenue</w:t>
        </w:r>
      </w:hyperlink>
      <w:r>
        <w:rPr>
          <w:rFonts w:ascii="Times New Roman;serif" w:hAnsi="Times New Roman;serif"/>
          <w:b w:val="false"/>
          <w:color w:val="000000"/>
          <w:sz w:val="20"/>
        </w:rPr>
        <w:t>, to the condensed consolidated financial statements in this Quarterly Report on Form 10-Q.</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future, we expect to continue to generate revenue from product sales of PYRUKYND® and AQVESME™. We may also generate revenue from milestone payments, upfront payments or royalties on product sales under collaborations or licensing agreements that we may enter into in the future.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Cost of sales consists primarily of manufacturing costs for sales of PYRUKYND® and AQVESME™. Based on our policy to expense costs associated with the manufacturing of our products prior to regulatory approval, certain of the manufacturing costs associated with product shipments of PYRUKYND® and AQVESME™ recorded during the three and six months ended June 30, 2026 and 2025 were expensed prior to applicable regulatory approval, and, therefore, are not included in costs of sales during the three and six months ended June 30, 2026 and 2025. The amounts excluded from cost of sales were not significant during the three and six months ended June 30, 2026 and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are reviewed periodically to identify excess or obsolete inventory based on projected sales activity as well as product shelf-life. Expired inventory is disposed of, and the related costs are recognized as cost of sales in our consolidated statements of operations, when, based on the expiry date, we do not believe we are able to sell the inventory. We have not reserved for excess or obsolete inventory during the three and six months ended June 30, 2026 and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related to our portfolio to increase as our product candidate development programs progress. However, the successful development of our product candidates is highly uncertain. As such, at this time, we cannot reasonably estimate or know the nature, timing and estimated costs of the efforts that will be necessary to complete the development of and to commercialize these product candidates. We are unable to predict the amount of net cash inflows from any of our products or product candidates. This is due to the numerous risks and uncertainties associated with developing medicines, including the uncertainty of:</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establishing an appropriate safety profile with an investigational new drug application, or IND, and/or NDA-enabling toxicology and clinical trials;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successfully enrolling in, and completion of, clinical trials;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receiving marketing approvals from applicable regulatory authorities;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establishing compliant commercial manufacturing capabilities or making arrangements with third-party manufacturers;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obtaining and maintaining patent and trade secret protection and regulatory exclusivity for our product candidates;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 xml:space="preserve">launching commercial sales of the products, if and when approved, in the United States or in other jurisdictions,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whether alone or in collaboration with others, including pursuant to the NewBridge Agreement and Avanzanite Agreement;</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maintaining an acceptable safety profile of the products following approval; and</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complying with any approval or post-approval requirements.</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A change in the outcome of any of these variables with respect to the development of any of our product candidates would significantly change the costs and timing associated with the development of that product candidate.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research activities, including our drug discovery efforts, and the development of our product candidates, which include:</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employee-related expenses, including salaries, benefits and stock-based compensation expense;</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expenses incurred under agreements with third parties, including contract research organizations, or CROs, that conduct research and development and both preclinical and clinical activities on our behalf, and the cost of consultants;</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the cost of lab supplies and acquiring, developing and manufacturing preclinical study and clinical trial materials; and</w:t>
      </w:r>
    </w:p>
    <w:p>
      <w:pPr>
        <w:pStyle w:val="TextBody"/>
        <w:bidi w:val="0"/>
        <w:spacing w:lineRule="auto" w:line="288" w:before="120" w:after="120"/>
        <w:ind w:left="0" w:right="0" w:hanging="540"/>
        <w:jc w:val="both"/>
        <w:rPr/>
      </w:pPr>
      <w:r>
        <w:rPr>
          <w:color w:val="000000"/>
        </w:rPr>
        <w:t>•</w:t>
      </w:r>
      <w:r>
        <w:rPr>
          <w:rFonts w:ascii="Times New Roman;serif" w:hAnsi="Times New Roman;serif"/>
          <w:b w:val="false"/>
          <w:color w:val="000000"/>
          <w:sz w:val="20"/>
        </w:rPr>
        <w:t>facilities, depreciation, and other expenses, which include direct and allocated expenses for rent and the maintenance of facilities, insurance and other operating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summarizes our products and most advanced programs: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PYRUKYND®/AQVESME™ (mitapivat): First-in-Class PK Activator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Mitapivat is an orally available small molecule and a potent activator of the wild-type and mutated PK enzymes. Mitapivat is approved under the brand name AQVESME™ in the United States for the treatment of anemia in adults with non-transfusion dependent and transfusion-dependent alpha- or beta-thalassemia, and is the only FDA-approved medicine for anemia in both non-transfusion-dependent and transfusion-dependent alpha- or beta-thalassemia. We commercially launched AQVESME™ in the United States in late January 2026 following our implementation of a Risk Evaluation and Mitigation Strategy, or REMS, to mitigate the risk of hepatocellular injury. Mitapivat will continue to be marketed as PYRUKYND® in the United States for the PK deficiency indication, which does not require a REMS. The AQVESME™ REMS requires liver tests prior to the first AQVESME™ dose, every four weeks thereafter for 24 weeks, and then as clinically indicated. It also includes education and certification requirements for patients, prescribing physicians, and pharmacists, which are common components of REMS.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Mitapivat is approved under the brand name PYRUKYND®: in the United States for the treatment of hemolytic anemia in adults with PK deficiency; in the EU for the treatment of PK deficiency and for the treatment of non-transfusion dependent and transfusion dependent alpha- or beta-thalassemia in adult patients; in the Kingdom of Saudi Arabia for the treatment of adults with non-transfusion dependent and transfusion-dependent alpha- or beta-thalassemia; in the United Arab Emirates for the treatment of non-transfusion-dependent and transfusion-dependent alpha- or beta-thalassemia in adult patients; and in Great Britain for the treatment of PK deficiency in adult patients.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submitted an sNDA for the U.S. accelerated approval of mitapivat in SCD in May 2026, which was accepted with priority review by the FDA and granted a PDUFA goal date of November 1, 2026. To support this accelerated approval pathway, we initiated REIGNITE, a phase 3 confirmatory trial designed to demonstrate the clinical benefit of mitapivat on reducing transfusion burden in patients with SCD aged 12 years or older. Additionally, in the second quarter of 2026 we filed for regulatory approval for SCD in the Kingdom of Saudi Arabia.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Mitapivat has received orphan drug designation from the FDA for the treatment of thalassemia and SCD, and orphan medicinal product designation from the EMA for the treatment of SCD. Additionally, mitapivat was granted orphan drug designation for the treatment of PK deficiency by the FDA and EMA.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full ownership rights to PYRUKYND® and AQVESME™ and expect to fund the future development and commercialization costs related to PYRUKYND® and AQVESME™. We built our commercial infrastructure to support the commercialization of PYRUKYND® in adult PK deficiency in the United States, and have expanded this infrastructure to support the commercial launch of AQVESME™ in thalassemia in the United States and the potential commercial launch of mitapivat in SCD in the United States. In July 2024, we entered into the NewBridge Agreement, pursuant to which we granted NewBridge the right to commercialize PYRUKYND® in the GCC region. In June 2025, we entered into the Avanzanite Agreement, pursuant to which we granted Avanzanite the right to commercialize PYRUKYND® in the European Economic Area, Switzerland, and the United Kingdom. Under the NewBridge Agreement and the Avanzanite Agreement, we rely on NewBridge and Avanzanite, respectively, to assist with regulatory filings, prepare applications for pricing and reimbursement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approval, negotiate with payors, conduct medical affairs activities and import, distribute, promote and commercialize our products in accordance with applicable law in the applicable jurisdictions. </w:t>
      </w:r>
    </w:p>
    <w:p>
      <w:pPr>
        <w:pStyle w:val="TextBody"/>
        <w:bidi w:val="0"/>
        <w:spacing w:lineRule="auto" w:line="288" w:before="120" w:after="120"/>
        <w:jc w:val="both"/>
        <w:rPr/>
      </w:pPr>
      <w:r>
        <w:rPr>
          <w:rFonts w:ascii="Times New Roman;serif" w:hAnsi="Times New Roman;serif"/>
          <w:b w:val="false"/>
          <w:color w:val="000000"/>
          <w:sz w:val="20"/>
        </w:rPr>
        <w:t xml:space="preserve">In connection with our regulatory approvals in the EU, Great Britain, Saudi Arabia and the United Arab Emirates, we provide access to PYRUKYND® to eligible patients through the Avanzanite Agreement and the NewBridge Agreement, as applicable, and on either a free of charge or for charge basis for eligible patients in those jurisdictions and other jurisdictions through a global managed access program. Revenues associated with the NewBridge Agreement, the Avanzanite Agreement and the for charge portion of our global managed access program are included in the rest of world product revenue line within </w:t>
      </w:r>
      <w:hyperlink w:anchor="if99e15f3b853459c94ad88039f898d82_91">
        <w:r>
          <w:rPr>
            <w:rStyle w:val="InternetLink"/>
            <w:rFonts w:ascii="Times New Roman;serif" w:hAnsi="Times New Roman;serif"/>
            <w:b w:val="false"/>
            <w:i/>
            <w:strike w:val="false"/>
            <w:dstrike w:val="false"/>
            <w:color w:val="000000"/>
            <w:sz w:val="20"/>
            <w:u w:val="none"/>
            <w:effect w:val="none"/>
          </w:rPr>
          <w:t>Results of Operations</w:t>
        </w:r>
      </w:hyperlink>
      <w:r>
        <w:rPr>
          <w:rFonts w:ascii="Times New Roman;serif" w:hAnsi="Times New Roman;serif"/>
          <w:b w:val="false"/>
          <w:color w:val="000000"/>
          <w:sz w:val="20"/>
        </w:rPr>
        <w:t>. We continue to evaluate other options for the commercialization of PYRUKYND® outside of the United States, including through exploring potential partnership opportunities.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evaluating mitapivat in numerous clinical trials, including the following: </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REIGNITE, a confirmatory clinical trial required to be conducted under the U.S. accelerated approval pathway, to support our sNDA for mitapivat in SCD. REIGNITE is a global phase 3 trial designed to demonstrate the clinical benefit of mitapivat on reducing transfusion burden in patients with SCD aged 12 years or older. REIGNITE includes a 52-week, double-blind, randomized, placebo-controlled period, in which approximately 159 participants are randomized 2:1 to receive oral mitapivat (100 mg) twice daily or matched placebo. Upon completing this period, participants have the option to transition into an open-label extension period where all such participants will receive mitapivat. The primary endpoint of REIGNITE is the proportion of patients achieving transfusion-free status from Week 4 through Week 52, and the first key secondary endpoint is the number of red blood cell units transfused from Week 4 through Week 52. To further assess the anti-hemolytic benefits of mitapivat, the trial also includes key secondary endpoints measuring the average change from baseline in hemoglobin, indirect bilirubin, and lactate dehydrogenase. This trial is currently enrolling patients.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 xml:space="preserve">An extension study evaluating the long-term safety, tolerability and efficacy of treatment with mitapivat in SCD patients who are 16 years of age or older from RISE UP, our completed double-blind phase 3 study evaluating the efficacy and safety of mitapivat as a potential treatment for SCD. </w:t>
      </w:r>
    </w:p>
    <w:p>
      <w:pPr>
        <w:pStyle w:val="TextBody"/>
        <w:bidi w:val="0"/>
        <w:spacing w:lineRule="auto" w:line="288" w:before="0" w:after="60"/>
        <w:ind w:left="0" w:right="0" w:hanging="540"/>
        <w:jc w:val="both"/>
        <w:rPr/>
      </w:pPr>
      <w:r>
        <w:rPr>
          <w:color w:val="000000"/>
        </w:rPr>
        <w:t>•</w:t>
      </w:r>
      <w:r>
        <w:rPr>
          <w:rFonts w:ascii="Times New Roman;serif" w:hAnsi="Times New Roman;serif"/>
          <w:b w:val="false"/>
          <w:color w:val="000000"/>
          <w:sz w:val="20"/>
        </w:rPr>
        <w:t>Extension studies evaluating the long-term safety, tolerability and efficacy of treatment with mitapivat in pediatric patients from ACTIVATE-kids and ACTIVATE-kidsT, our completed double-blind phase 3 studies evaluating the efficacy and safety of mitapivat as a potential treatment for PK deficiency in not regularly transfused and regularly transfused patients between one and 18 years old, respectively.</w:t>
      </w:r>
    </w:p>
    <w:p>
      <w:pPr>
        <w:pStyle w:val="TextBody"/>
        <w:bidi w:val="0"/>
        <w:spacing w:lineRule="auto" w:line="288" w:before="60" w:after="60"/>
        <w:ind w:left="0" w:right="0" w:hanging="540"/>
        <w:jc w:val="both"/>
        <w:rPr/>
      </w:pPr>
      <w:r>
        <w:rPr>
          <w:color w:val="000000"/>
        </w:rPr>
        <w:t>•</w:t>
      </w:r>
      <w:r>
        <w:rPr>
          <w:rFonts w:ascii="Times New Roman;serif" w:hAnsi="Times New Roman;serif"/>
          <w:b w:val="false"/>
          <w:color w:val="000000"/>
          <w:sz w:val="20"/>
        </w:rPr>
        <w:t xml:space="preserve">An extension study evaluating the long-term safety, tolerability and efficacy of treatment with mitapivat in patients from ACTIVATE and ACTIVATE-T, our completed pivotal trials of mitapivat in not regularly transfused and regularly transfused adult patients with PK deficiency. </w:t>
      </w:r>
    </w:p>
    <w:p>
      <w:pPr>
        <w:pStyle w:val="TextBody"/>
        <w:bidi w:val="0"/>
        <w:spacing w:lineRule="auto" w:line="288" w:before="60" w:after="60"/>
        <w:ind w:left="0" w:right="0" w:hanging="540"/>
        <w:jc w:val="both"/>
        <w:rPr/>
      </w:pPr>
      <w:r>
        <w:rPr>
          <w:color w:val="000000"/>
        </w:rPr>
        <w:t>•</w:t>
      </w:r>
      <w:r>
        <w:rPr>
          <w:rFonts w:ascii="Times New Roman;serif" w:hAnsi="Times New Roman;serif"/>
          <w:b w:val="false"/>
          <w:color w:val="000000"/>
          <w:sz w:val="20"/>
        </w:rPr>
        <w:t>An extension study evaluating the long-term safety, tolerability and efficacy of treatment with mitapivat in patients from DRIVE PK, our completed global phase 2, first-in-patient, open-label safety and efficacy clinical trial of mitapivat in adult, not regularly transfused patients with PK deficiency.</w:t>
      </w:r>
    </w:p>
    <w:p>
      <w:pPr>
        <w:pStyle w:val="TextBody"/>
        <w:bidi w:val="0"/>
        <w:spacing w:lineRule="auto" w:line="288" w:before="60" w:after="60"/>
        <w:ind w:left="0" w:right="0" w:hanging="540"/>
        <w:jc w:val="both"/>
        <w:rPr/>
      </w:pPr>
      <w:r>
        <w:rPr>
          <w:color w:val="000000"/>
        </w:rPr>
        <w:t>•</w:t>
      </w:r>
      <w:r>
        <w:rPr>
          <w:rFonts w:ascii="Times New Roman;serif" w:hAnsi="Times New Roman;serif"/>
          <w:b w:val="false"/>
          <w:color w:val="000000"/>
          <w:sz w:val="20"/>
        </w:rPr>
        <w:t>An extension study evaluating the long-term efficacy and safety of treatment with mitapivat in patients from ENERGIZE and ENERGIZE-T, our completed pivotal trials of mitapivat in adults with non-transfusion-dependent and transfusion-dependent alpha- or beta-thalassemia.</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double-blind periods of ENERGIZE and ENERGIZE-T, two patients on mitapivat experienced events of hepatocellular injury. In addition, during the open-label extension periods of both trials, a total of three patients experienced events of hepatocellular injury after switching from placebo to mitapivat. All of these events occurred within the first six months of exposure to mitapivat and liver tests improved following discontinuation of mitapivat. Based on the results of the ENERGIZE and ENERGIZE-T trials, we included in our regulatory applications hepatocellular injury as an important potential risk of mitapivat in patients with thalassemia and proposed monthly monitoring of liver tests for the first six months of treatment with mitapivat. We updated our mitapivat clinical trial protocols across all indications to incorporate monthly monitoring of liver tests for the first six months of treatment.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Tebapivat: Novel PK Activator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2026, we announced that we will not advance tebapivat in lower-risk myelodysplastic syndromes, or LR-MDS, as results from the phase 2b trial of tebapivat in LR-MDS did not meet our predefined threshold to support further development in the indication.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July 2026, we announced that we will not continue development of tebapivat in SCD, as results from the phase 2 trial of tebapivat in SCD did not establish sufficient differentiation from other PK activators that we believe necessary to support continued development.</w:t>
      </w:r>
    </w:p>
    <w:p>
      <w:pPr>
        <w:pStyle w:val="TextBody"/>
        <w:bidi w:val="0"/>
        <w:spacing w:lineRule="auto" w:line="288" w:before="120" w:after="180"/>
        <w:jc w:val="both"/>
        <w:rPr>
          <w:rFonts w:ascii="Times New Roman;serif" w:hAnsi="Times New Roman;serif"/>
          <w:b w:val="false"/>
          <w:i/>
          <w:color w:val="000000"/>
          <w:sz w:val="20"/>
        </w:rPr>
      </w:pPr>
      <w:r>
        <w:rPr>
          <w:rFonts w:ascii="Times New Roman;serif" w:hAnsi="Times New Roman;serif"/>
          <w:b w:val="false"/>
          <w:i/>
          <w:color w:val="000000"/>
          <w:sz w:val="20"/>
        </w:rPr>
        <w:t>Other Programs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developing AG-181, a PAH stabilizer for the potential treatment of PKU, for which we filed an IND in December 2023. We initiated a phase 1 clinical trial of AG-181 in healthy volunteers in the first quarter of 2024, initiated the multiple ascending dose portion of the trial in the second quarter of 2025, and completed the trial in December 2025. We initiated a phase 1b trial of AG-181 in patients with PKU in the first half of 2026 and expect to confirm proof of mechanism in the second half of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entered into a license agreement with Alnylam for the development and commercialization of products containing or comprised of an siRNA preclinical development candidate discovered by Alnylam and targeting the TMPRSS6 gene, and we are developing a product candidate, AG-236, for the potential treatment of patients with PV. We filed an IND with the FDA for AG-236 for the treatment of PV, which cleared in June 2025, and initiated a phase 1 clinical trial evaluating AG-236 in healthy volunteers in July 2025. In June 2026, we announced topline results from the phase 1 clinical trial, which demonstrated dose-dependent hepcidin induction, sustained activity across doses, rapid and sustained biomarker changes and no dose-limiting toxicities. We expect to initiate the phase 2 portion of a phase 2/3 trial of AG-236 in patients with PV in the second half of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June 2026, we entered into a license agreement with Oscotec for the development, manufacture and commercialization of cevidoplenib, a novel, highly selective, oral SYK inhibitor in-licensed from Oscotec for the potential treatment of ITP and other autoimmune indications. We expect to initiate a phase 3 clinical trial of cevidoplenib in patients with ITP in the first half of 2028, following completion of additional chemistry, manufacturing and controls development work.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primarily of salaries and other related costs, including stock-based compensation, for personnel in executive, finance, business development, commercial, legal, information technology and human resources functions. Other significant costs include facility-related costs not otherwise included in research and development expenses, legal fees relating to patent and corporate matters, and fees for accounting and consulting services.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anticipate that our selling, general and administrative expenses will increase in the future to support continued research and development activities, and ongoing and future commercialization activities related to our portfolio, including the ongoing commercialization of PYRUKYND®, AQVESME™ and any of our other product candidates, which may include the hiring of additional personnel.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28" w:before="180" w:after="12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Our critical accounting estimates are those which require the most significant judgments and estimates in the preparation of our condensed consolidated financial statements. We have determined that our most critical accounting estimates are those relating to revenue recognition, accrued research and development expenses and stock-based compensation. As of June 30, 2026, there have been no material changes to our existing critical accounting estimates discussed in Part II, Item 7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and 2025</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Revenues</w:t>
      </w:r>
    </w:p>
    <w:tbl>
      <w:tblPr>
        <w:tblW w:w="7781" w:type="dxa"/>
        <w:jc w:val="left"/>
        <w:tblInd w:w="0" w:type="dxa"/>
        <w:tblLayout w:type="fixed"/>
        <w:tblCellMar>
          <w:top w:w="28" w:type="dxa"/>
          <w:left w:w="28" w:type="dxa"/>
          <w:bottom w:w="28" w:type="dxa"/>
          <w:right w:w="28" w:type="dxa"/>
        </w:tblCellMar>
      </w:tblPr>
      <w:tblGrid>
        <w:gridCol w:w="821"/>
        <w:gridCol w:w="721"/>
        <w:gridCol w:w="72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44,745 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12,455 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65,491 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21,181 </w:t>
            </w:r>
          </w:p>
        </w:tc>
        <w:tc>
          <w:tcPr>
            <w:tcW w:w="154"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20"/>
        </w:rPr>
        <w:t>Total Revenue - Three Months Ended June 30, 2026 vs. Three Months Ended June 30, 2025</w:t>
      </w:r>
      <w:r>
        <w:rPr>
          <w:color w:val="000000"/>
        </w:rPr>
        <w:t xml:space="preserve"> – </w:t>
      </w:r>
      <w:r>
        <w:rPr>
          <w:rFonts w:ascii="Times New Roman;serif" w:hAnsi="Times New Roman;serif"/>
          <w:b w:val="false"/>
          <w:color w:val="000000"/>
          <w:sz w:val="20"/>
        </w:rPr>
        <w:t>The increase in total revenue of $32.3 million for the three months ended June 30, 2026 compared to the three months ended June 30, 2025 was primarily due to an increase of $28.8 million in United States product revenue, which was primarily due to AQVESME™ sales, which we began recognizing product revenue for in the first quarter of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Total Revenue - Six Months Ended June 30, 2026 vs. Six Months Ended June 30, 2025</w:t>
      </w:r>
      <w:r>
        <w:rPr>
          <w:color w:val="000000"/>
        </w:rPr>
        <w:t xml:space="preserve"> – </w:t>
      </w:r>
      <w:r>
        <w:rPr>
          <w:rFonts w:ascii="Times New Roman;serif" w:hAnsi="Times New Roman;serif"/>
          <w:b w:val="false"/>
          <w:color w:val="000000"/>
          <w:sz w:val="20"/>
        </w:rPr>
        <w:t xml:space="preserve">The increase in total revenue of $44.3 million for the six months ended June 30, 2026 compared to the six months ended June 30, 2025 was due to an increase of $38.9 million in United States product revenue and an increase of $5.4 million in rest of world product revenue. The increase in United States product revenue was primarily due to AQVESME™ sales, which we began recognizing product revenue for in the first quarter of 2026, and increased volume associated with PYRUKYND®. The increase in rest of world product revenue was primarily due to increased volume associated with the NewBridge Agreement and sales associated with the Avanzanite Agreement discussed above in </w:t>
      </w:r>
      <w:hyperlink w:anchor="if99e15f3b853459c94ad88039f898d82_82">
        <w:r>
          <w:rPr>
            <w:rStyle w:val="InternetLink"/>
            <w:rFonts w:ascii="Times New Roman;serif" w:hAnsi="Times New Roman;serif"/>
            <w:b w:val="false"/>
            <w:i/>
            <w:strike w:val="false"/>
            <w:dstrike w:val="false"/>
            <w:color w:val="000000"/>
            <w:sz w:val="20"/>
            <w:u w:val="none"/>
            <w:effect w:val="none"/>
          </w:rPr>
          <w:t>Overview</w:t>
        </w:r>
      </w:hyperlink>
      <w:r>
        <w:rPr>
          <w:rFonts w:ascii="Times New Roman;serif" w:hAnsi="Times New Roman;serif"/>
          <w:b w:val="false"/>
          <w:color w:val="000000"/>
          <w:sz w:val="20"/>
        </w:rPr>
        <w:t>.</w:t>
      </w:r>
    </w:p>
    <w:p>
      <w:pPr>
        <w:pStyle w:val="TextBody"/>
        <w:bidi w:val="0"/>
        <w:spacing w:lineRule="auto" w:line="288" w:before="180" w:after="120"/>
        <w:jc w:val="left"/>
        <w:rPr>
          <w:rFonts w:ascii="Times New Roman;serif" w:hAnsi="Times New Roman;serif"/>
          <w:b/>
          <w:i/>
          <w:color w:val="000000"/>
          <w:sz w:val="20"/>
        </w:rPr>
      </w:pPr>
      <w:r>
        <w:rPr>
          <w:rFonts w:ascii="Times New Roman;serif" w:hAnsi="Times New Roman;serif"/>
          <w:b/>
          <w:i/>
          <w:color w:val="000000"/>
          <w:sz w:val="20"/>
        </w:rPr>
        <w:t>Total Operating Expenses</w:t>
      </w:r>
    </w:p>
    <w:tbl>
      <w:tblPr>
        <w:tblW w:w="8782" w:type="dxa"/>
        <w:jc w:val="left"/>
        <w:tblInd w:w="0" w:type="dxa"/>
        <w:tblLayout w:type="fixed"/>
        <w:tblCellMar>
          <w:top w:w="28" w:type="dxa"/>
          <w:left w:w="28" w:type="dxa"/>
          <w:bottom w:w="28" w:type="dxa"/>
          <w:right w:w="28" w:type="dxa"/>
        </w:tblCellMar>
      </w:tblPr>
      <w:tblGrid>
        <w:gridCol w:w="1069"/>
        <w:gridCol w:w="940"/>
        <w:gridCol w:w="945"/>
        <w:gridCol w:w="109"/>
        <w:gridCol w:w="211"/>
        <w:gridCol w:w="826"/>
        <w:gridCol w:w="109"/>
        <w:gridCol w:w="109"/>
        <w:gridCol w:w="109"/>
        <w:gridCol w:w="109"/>
        <w:gridCol w:w="211"/>
        <w:gridCol w:w="826"/>
        <w:gridCol w:w="109"/>
        <w:gridCol w:w="109"/>
        <w:gridCol w:w="109"/>
        <w:gridCol w:w="109"/>
        <w:gridCol w:w="109"/>
        <w:gridCol w:w="211"/>
        <w:gridCol w:w="826"/>
        <w:gridCol w:w="109"/>
        <w:gridCol w:w="109"/>
        <w:gridCol w:w="109"/>
        <w:gridCol w:w="109"/>
        <w:gridCol w:w="211"/>
        <w:gridCol w:w="826"/>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155,297 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139,511 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286,068 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254,866 </w:t>
            </w:r>
          </w:p>
        </w:tc>
        <w:tc>
          <w:tcPr>
            <w:tcW w:w="1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i/>
          <w:color w:val="000000"/>
          <w:sz w:val="20"/>
        </w:rPr>
        <w:t xml:space="preserve">Total Operating Expenses - Three Months Ended June 30, 2026 vs. Three Months Ended June 30, 2025 </w:t>
      </w:r>
      <w:r>
        <w:rPr>
          <w:color w:val="000000"/>
        </w:rPr>
        <w:t xml:space="preserve">– </w:t>
      </w:r>
      <w:r>
        <w:rPr>
          <w:rFonts w:ascii="Times New Roman;serif" w:hAnsi="Times New Roman;serif"/>
          <w:b w:val="false"/>
          <w:color w:val="000000"/>
          <w:sz w:val="20"/>
        </w:rPr>
        <w:t>The increase in total operating expenses of $15.8 million for the three months ended June 30, 2026 compared to the three months ended June 30, 2025 was primarily due to an increase in research and development expenses of $8.8 million, which is described below under R</w:t>
      </w:r>
      <w:r>
        <w:rPr>
          <w:rFonts w:ascii="Times New Roman;serif" w:hAnsi="Times New Roman;serif"/>
          <w:b w:val="false"/>
          <w:i/>
          <w:color w:val="000000"/>
          <w:sz w:val="20"/>
        </w:rPr>
        <w:t>esearch and Development Expenses</w:t>
      </w:r>
      <w:r>
        <w:rPr>
          <w:rFonts w:ascii="Times New Roman;serif" w:hAnsi="Times New Roman;serif"/>
          <w:b w:val="false"/>
          <w:color w:val="000000"/>
          <w:sz w:val="20"/>
        </w:rPr>
        <w:t>, and an increase in selling, general and administrative expenses of $5.7 million, driven by an increase in commercial-related activities as we execute our launch of AQVESME™ in thalassemia.</w:t>
      </w:r>
    </w:p>
    <w:p>
      <w:pPr>
        <w:pStyle w:val="TextBody"/>
        <w:bidi w:val="0"/>
        <w:spacing w:lineRule="auto" w:line="288" w:before="120" w:after="120"/>
        <w:jc w:val="both"/>
        <w:rPr/>
      </w:pPr>
      <w:r>
        <w:rPr>
          <w:rFonts w:ascii="Times New Roman;serif" w:hAnsi="Times New Roman;serif"/>
          <w:b w:val="false"/>
          <w:i/>
          <w:color w:val="000000"/>
          <w:sz w:val="20"/>
        </w:rPr>
        <w:t xml:space="preserve">Total Operating Expenses - Six Months Ended June 30, 2026 vs. Six Months Ended June 30, 2025 </w:t>
      </w:r>
      <w:r>
        <w:rPr>
          <w:color w:val="000000"/>
        </w:rPr>
        <w:t xml:space="preserve">– </w:t>
      </w:r>
      <w:r>
        <w:rPr>
          <w:rFonts w:ascii="Times New Roman;serif" w:hAnsi="Times New Roman;serif"/>
          <w:b w:val="false"/>
          <w:color w:val="000000"/>
          <w:sz w:val="20"/>
        </w:rPr>
        <w:t xml:space="preserve">The increase in total operating expenses of $31.2 million for the six months ended June 30, 2026 compared to the six months ended June 30, 2025 was primarily due to an increase in research and development expenses of $17.2 million, which is described below under </w:t>
      </w: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and an increase in selling, general and administrative expenses of $12.5 million, driven by an increase in commercial-related activities as we execute our launch of AQVESME™ in thalassemia, and an increase in stock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by major program, are outlined in the table below:</w:t>
      </w:r>
    </w:p>
    <w:tbl>
      <w:tblPr>
        <w:tblW w:w="9675" w:type="dxa"/>
        <w:jc w:val="left"/>
        <w:tblInd w:w="0" w:type="dxa"/>
        <w:tblLayout w:type="fixed"/>
        <w:tblCellMar>
          <w:top w:w="28" w:type="dxa"/>
          <w:left w:w="28" w:type="dxa"/>
          <w:bottom w:w="28" w:type="dxa"/>
          <w:right w:w="28" w:type="dxa"/>
        </w:tblCellMar>
      </w:tblPr>
      <w:tblGrid>
        <w:gridCol w:w="1510"/>
        <w:gridCol w:w="1325"/>
        <w:gridCol w:w="133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PK activator (PYRUKYND®/AQVESME™)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Novel PK activator (tebapivat)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PAH stabilizer (AG-181)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siRNA targeting TMPRSS6 (AG-236)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platform programs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direct research and development expenses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IT related expenses &amp;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indirect research and development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100,754 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91,940 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181,902 </w:t>
            </w:r>
          </w:p>
        </w:tc>
        <w:tc>
          <w:tcPr>
            <w:tcW w:w="109"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164,683 </w:t>
            </w:r>
          </w:p>
        </w:tc>
        <w:tc>
          <w:tcPr>
            <w:tcW w:w="1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Total Research and Development Expenses - Three Months Ended June 30, 2026 vs. Three Months Ended June 30, 2025 </w:t>
      </w:r>
      <w:r>
        <w:rPr>
          <w:color w:val="000000"/>
        </w:rPr>
        <w:t xml:space="preserve">– </w:t>
      </w:r>
      <w:r>
        <w:rPr>
          <w:rFonts w:ascii="Times New Roman;serif" w:hAnsi="Times New Roman;serif"/>
          <w:b w:val="false"/>
          <w:color w:val="000000"/>
          <w:sz w:val="20"/>
        </w:rPr>
        <w:t xml:space="preserve">The increase in total research and development expenses of $8.8 million for the three months ended June 30, 2026 compared to the three months ended June 30, 2025 was primarily due to an $8.0 million increase in our direct expenses. The increase in direct expenses was primarily due to an increase in in-process research and development of $15.0 million, driven by the $25.0 million up-front payment associated with the agreement with Oscotec discussed above under </w:t>
      </w:r>
      <w:hyperlink w:anchor="if99e15f3b853459c94ad88039f898d82_82">
        <w:r>
          <w:rPr>
            <w:rStyle w:val="InternetLink"/>
            <w:rFonts w:ascii="Times New Roman;serif" w:hAnsi="Times New Roman;serif"/>
            <w:b w:val="false"/>
            <w:i/>
            <w:strike w:val="false"/>
            <w:dstrike w:val="false"/>
            <w:color w:val="000000"/>
            <w:sz w:val="20"/>
            <w:u w:val="none"/>
            <w:effect w:val="none"/>
          </w:rPr>
          <w:t>Overview</w:t>
        </w:r>
      </w:hyperlink>
      <w:r>
        <w:rPr>
          <w:rFonts w:ascii="Times New Roman;serif" w:hAnsi="Times New Roman;serif"/>
          <w:b w:val="false"/>
          <w:color w:val="000000"/>
          <w:sz w:val="20"/>
        </w:rPr>
        <w:t>, partially offset by a decrease in PYRUKYND®/AQVESME™ costs of $4.0 million primarily due to lower process development expenses.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Total Research and Development Expenses - Six Months Ended June 30, 2026 vs. Six Months Ended June 30, 2025 </w:t>
      </w:r>
      <w:r>
        <w:rPr>
          <w:color w:val="000000"/>
        </w:rPr>
        <w:t xml:space="preserve">– </w:t>
      </w:r>
      <w:r>
        <w:rPr>
          <w:rFonts w:ascii="Times New Roman;serif" w:hAnsi="Times New Roman;serif"/>
          <w:b w:val="false"/>
          <w:color w:val="000000"/>
          <w:sz w:val="20"/>
        </w:rPr>
        <w:t xml:space="preserve">The increase in total research and development expenses of $17.2 million for the six months ended June 30, 2026 compared to the six months ended June 30, 2025 was due to a $11.7 million increase in our direct expenses and a $5.5 million increase in our indirect expenses. The increase in direct expenses was primarily due to an increase in in-process research and development of $15.0 million, driven by the $25.0 million up-front payment associated with the agreement with Oscotec discussed above under </w:t>
      </w:r>
      <w:hyperlink w:anchor="if99e15f3b853459c94ad88039f898d82_82">
        <w:r>
          <w:rPr>
            <w:rStyle w:val="InternetLink"/>
            <w:rFonts w:ascii="Times New Roman;serif" w:hAnsi="Times New Roman;serif"/>
            <w:b w:val="false"/>
            <w:i/>
            <w:strike w:val="false"/>
            <w:dstrike w:val="false"/>
            <w:color w:val="000000"/>
            <w:sz w:val="20"/>
            <w:u w:val="none"/>
            <w:effect w:val="none"/>
          </w:rPr>
          <w:t>Overview</w:t>
        </w:r>
      </w:hyperlink>
      <w:r>
        <w:rPr>
          <w:rFonts w:ascii="Times New Roman;serif" w:hAnsi="Times New Roman;serif"/>
          <w:b w:val="false"/>
          <w:color w:val="000000"/>
          <w:sz w:val="20"/>
        </w:rPr>
        <w:t>. The increase in our indirect expenses was primarily due to higher compensation and related expenses driven principally by workforce-related expenses and an increase in stock compensation expenses.</w:t>
      </w:r>
    </w:p>
    <w:p>
      <w:pPr>
        <w:pStyle w:val="TextBody"/>
        <w:bidi w:val="0"/>
        <w:spacing w:lineRule="auto" w:line="268" w:before="180" w:after="120"/>
        <w:jc w:val="left"/>
        <w:rPr>
          <w:rFonts w:ascii="Times New Roman;serif" w:hAnsi="Times New Roman;serif"/>
          <w:b/>
          <w:i/>
          <w:color w:val="000000"/>
          <w:sz w:val="20"/>
        </w:rPr>
      </w:pPr>
      <w:r>
        <w:rPr>
          <w:rFonts w:ascii="Times New Roman;serif" w:hAnsi="Times New Roman;serif"/>
          <w:b/>
          <w:i/>
          <w:color w:val="000000"/>
          <w:sz w:val="20"/>
        </w:rPr>
        <w:t>Other Income and Expense</w:t>
      </w:r>
    </w:p>
    <w:tbl>
      <w:tblPr>
        <w:tblW w:w="6795" w:type="dxa"/>
        <w:jc w:val="left"/>
        <w:tblInd w:w="0" w:type="dxa"/>
        <w:tblLayout w:type="fixed"/>
        <w:tblCellMar>
          <w:top w:w="28" w:type="dxa"/>
          <w:left w:w="28" w:type="dxa"/>
          <w:bottom w:w="28" w:type="dxa"/>
          <w:right w:w="28" w:type="dxa"/>
        </w:tblCellMar>
      </w:tblPr>
      <w:tblGrid>
        <w:gridCol w:w="619"/>
        <w:gridCol w:w="544"/>
        <w:gridCol w:w="547"/>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Times New Roman;serif" w:hAnsi="Times New Roman;serif"/>
          <w:b w:val="false"/>
          <w:i/>
          <w:color w:val="000000"/>
          <w:sz w:val="20"/>
        </w:rPr>
        <w:t xml:space="preserve">Other Income and Expense - Three Months Ended June 30, 2026 vs. Three Months Ended June 30, 2025 </w:t>
      </w:r>
      <w:r>
        <w:rPr>
          <w:color w:val="000000"/>
        </w:rPr>
        <w:t xml:space="preserve">– </w:t>
      </w:r>
      <w:r>
        <w:rPr>
          <w:rFonts w:ascii="Times New Roman;serif" w:hAnsi="Times New Roman;serif"/>
          <w:b w:val="false"/>
          <w:color w:val="000000"/>
          <w:sz w:val="20"/>
        </w:rPr>
        <w:t>The decrease in interest income, net was due to a lower investment balance in the three months ended June 30, 2026 compared to the three months ended June 30, 2025</w:t>
      </w:r>
      <w:r>
        <w:rPr>
          <w:rFonts w:ascii="Times New Roman;serif" w:hAnsi="Times New Roman;serif"/>
          <w:b w:val="false"/>
          <w:i/>
          <w:color w:val="000000"/>
          <w:sz w:val="20"/>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Other Income and Expense - Six Months Ended June 30, 2026 vs. Six Months Ended June 30, 2025 </w:t>
      </w:r>
      <w:r>
        <w:rPr>
          <w:color w:val="000000"/>
        </w:rPr>
        <w:t xml:space="preserve">– </w:t>
      </w:r>
      <w:r>
        <w:rPr>
          <w:rFonts w:ascii="Times New Roman;serif" w:hAnsi="Times New Roman;serif"/>
          <w:b w:val="false"/>
          <w:color w:val="000000"/>
          <w:sz w:val="20"/>
        </w:rPr>
        <w:t>The decrease in interest income, net was due to a lower investment balance in the six months ended June 30, 2026 compared to the six months ended June 30, 2025</w:t>
      </w:r>
      <w:r>
        <w:rPr>
          <w:rFonts w:ascii="Times New Roman;serif" w:hAnsi="Times New Roman;serif"/>
          <w:b w:val="false"/>
          <w:i/>
          <w:color w:val="000000"/>
          <w:sz w:val="20"/>
        </w:rPr>
        <w:t>.</w:t>
      </w:r>
    </w:p>
    <w:p>
      <w:pPr>
        <w:pStyle w:val="TextBody"/>
        <w:bidi w:val="0"/>
        <w:spacing w:before="0" w:after="0"/>
        <w:jc w:val="both"/>
        <w:rPr/>
      </w:pPr>
      <w:r>
        <w:rPr/>
      </w:r>
    </w:p>
    <w:p>
      <w:pPr>
        <w:pStyle w:val="TextBody"/>
        <w:bidi w:val="0"/>
        <w:spacing w:lineRule="auto" w:line="268" w:before="0" w:after="120"/>
        <w:jc w:val="left"/>
        <w:rPr>
          <w:rFonts w:ascii="Times New Roman;serif" w:hAnsi="Times New Roman;serif"/>
          <w:b/>
          <w:i/>
          <w:color w:val="000000"/>
          <w:sz w:val="20"/>
        </w:rPr>
      </w:pPr>
      <w:r>
        <w:rPr>
          <w:rFonts w:ascii="Times New Roman;serif" w:hAnsi="Times New Roman;serif"/>
          <w:b/>
          <w:i/>
          <w:color w:val="000000"/>
          <w:sz w:val="20"/>
        </w:rPr>
        <w:t>Net Loss</w:t>
      </w:r>
    </w:p>
    <w:tbl>
      <w:tblPr>
        <w:tblW w:w="7035" w:type="dxa"/>
        <w:jc w:val="left"/>
        <w:tblInd w:w="0" w:type="dxa"/>
        <w:tblLayout w:type="fixed"/>
        <w:tblCellMar>
          <w:top w:w="28" w:type="dxa"/>
          <w:left w:w="28" w:type="dxa"/>
          <w:bottom w:w="28" w:type="dxa"/>
          <w:right w:w="28" w:type="dxa"/>
        </w:tblCellMar>
      </w:tblPr>
      <w:tblGrid>
        <w:gridCol w:w="407"/>
        <w:gridCol w:w="358"/>
        <w:gridCol w:w="360"/>
        <w:gridCol w:w="211"/>
        <w:gridCol w:w="901"/>
        <w:gridCol w:w="109"/>
        <w:gridCol w:w="109"/>
        <w:gridCol w:w="109"/>
        <w:gridCol w:w="109"/>
        <w:gridCol w:w="211"/>
        <w:gridCol w:w="901"/>
        <w:gridCol w:w="109"/>
        <w:gridCol w:w="109"/>
        <w:gridCol w:w="109"/>
        <w:gridCol w:w="109"/>
        <w:gridCol w:w="211"/>
        <w:gridCol w:w="901"/>
        <w:gridCol w:w="109"/>
        <w:gridCol w:w="109"/>
        <w:gridCol w:w="109"/>
        <w:gridCol w:w="109"/>
        <w:gridCol w:w="211"/>
        <w:gridCol w:w="90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(100,703)</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(112,020)</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(199,814)</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(201,309)</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i/>
          <w:color w:val="000000"/>
          <w:sz w:val="20"/>
        </w:rPr>
        <w:t xml:space="preserve">Net Loss - Three Months Ended June 30, 2026 vs. Three Months Ended June 30, 2025 </w:t>
      </w:r>
      <w:r>
        <w:rPr>
          <w:color w:val="000000"/>
        </w:rPr>
        <w:t xml:space="preserve">– </w:t>
      </w:r>
      <w:r>
        <w:rPr>
          <w:rFonts w:ascii="Times New Roman;serif" w:hAnsi="Times New Roman;serif"/>
          <w:b w:val="false"/>
          <w:color w:val="000000"/>
          <w:sz w:val="20"/>
        </w:rPr>
        <w:t xml:space="preserve">The decrease in net loss for the three months ended June 30, 2026 compared to the three months ended June 30, 2025 was primarily driven by the increase in product revenue discussed above under </w:t>
      </w:r>
      <w:r>
        <w:rPr>
          <w:rFonts w:ascii="Times New Roman;serif" w:hAnsi="Times New Roman;serif"/>
          <w:b w:val="false"/>
          <w:i/>
          <w:color w:val="000000"/>
          <w:sz w:val="20"/>
        </w:rPr>
        <w:t>Revenues</w:t>
      </w:r>
      <w:r>
        <w:rPr>
          <w:rFonts w:ascii="Times New Roman;serif" w:hAnsi="Times New Roman;serif"/>
          <w:b w:val="false"/>
          <w:color w:val="000000"/>
          <w:sz w:val="20"/>
        </w:rPr>
        <w:t xml:space="preserve">, partially offset by the increase in research and development expenses discussed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0"/>
        <w:jc w:val="both"/>
        <w:rPr/>
      </w:pPr>
      <w:r>
        <w:rPr>
          <w:rFonts w:ascii="Times New Roman;serif" w:hAnsi="Times New Roman;serif"/>
          <w:b w:val="false"/>
          <w:color w:val="000000"/>
          <w:sz w:val="20"/>
        </w:rPr>
        <w:t xml:space="preserve">under </w:t>
      </w:r>
      <w:r>
        <w:rPr>
          <w:rFonts w:ascii="Times New Roman;serif" w:hAnsi="Times New Roman;serif"/>
          <w:b w:val="false"/>
          <w:i/>
          <w:color w:val="000000"/>
          <w:sz w:val="20"/>
        </w:rPr>
        <w:t xml:space="preserve">Research and Development Expenses, </w:t>
      </w:r>
      <w:r>
        <w:rPr>
          <w:rFonts w:ascii="Times New Roman;serif" w:hAnsi="Times New Roman;serif"/>
          <w:b w:val="false"/>
          <w:color w:val="000000"/>
          <w:sz w:val="20"/>
        </w:rPr>
        <w:t xml:space="preserve">the increase in selling, general and administrative expenses discussed above under </w:t>
      </w:r>
      <w:r>
        <w:rPr>
          <w:rFonts w:ascii="Times New Roman;serif" w:hAnsi="Times New Roman;serif"/>
          <w:b w:val="false"/>
          <w:i/>
          <w:color w:val="000000"/>
          <w:sz w:val="20"/>
        </w:rPr>
        <w:t xml:space="preserve">Total Operating Expenses </w:t>
      </w:r>
      <w:r>
        <w:rPr>
          <w:rFonts w:ascii="Times New Roman;serif" w:hAnsi="Times New Roman;serif"/>
          <w:b w:val="false"/>
          <w:color w:val="000000"/>
          <w:sz w:val="20"/>
        </w:rPr>
        <w:t xml:space="preserve">and the decrease in interest income, net discussed above in </w:t>
      </w:r>
      <w:r>
        <w:rPr>
          <w:rFonts w:ascii="Times New Roman;serif" w:hAnsi="Times New Roman;serif"/>
          <w:b w:val="false"/>
          <w:i/>
          <w:color w:val="000000"/>
          <w:sz w:val="20"/>
        </w:rPr>
        <w:t>Other Income and Expense.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20"/>
        </w:rPr>
        <w:t xml:space="preserve">Net Loss - Six Months Ended June 30, 2026 vs. Six Months Ended June 30, 2025 </w:t>
      </w:r>
      <w:r>
        <w:rPr>
          <w:color w:val="000000"/>
        </w:rPr>
        <w:t xml:space="preserve">– </w:t>
      </w:r>
      <w:r>
        <w:rPr>
          <w:rFonts w:ascii="Times New Roman;serif" w:hAnsi="Times New Roman;serif"/>
          <w:b w:val="false"/>
          <w:color w:val="000000"/>
          <w:sz w:val="20"/>
        </w:rPr>
        <w:t xml:space="preserve">The decrease in net loss for the six months ended June 30, 2026 compared to the six months ended June 30, 2025 was primarily driven by the increase in product revenue discussed above under </w:t>
      </w:r>
      <w:r>
        <w:rPr>
          <w:rFonts w:ascii="Times New Roman;serif" w:hAnsi="Times New Roman;serif"/>
          <w:b w:val="false"/>
          <w:i/>
          <w:color w:val="000000"/>
          <w:sz w:val="20"/>
        </w:rPr>
        <w:t>Revenues</w:t>
      </w:r>
      <w:r>
        <w:rPr>
          <w:rFonts w:ascii="Times New Roman;serif" w:hAnsi="Times New Roman;serif"/>
          <w:b w:val="false"/>
          <w:color w:val="000000"/>
          <w:sz w:val="20"/>
        </w:rPr>
        <w:t xml:space="preserve">, partially offset by the increase in research and development expenses discussed above under </w:t>
      </w:r>
      <w:r>
        <w:rPr>
          <w:rFonts w:ascii="Times New Roman;serif" w:hAnsi="Times New Roman;serif"/>
          <w:b w:val="false"/>
          <w:i/>
          <w:color w:val="000000"/>
          <w:sz w:val="20"/>
        </w:rPr>
        <w:t xml:space="preserve">Research and Development Expenses, </w:t>
      </w:r>
      <w:r>
        <w:rPr>
          <w:rFonts w:ascii="Times New Roman;serif" w:hAnsi="Times New Roman;serif"/>
          <w:b w:val="false"/>
          <w:color w:val="000000"/>
          <w:sz w:val="20"/>
        </w:rPr>
        <w:t xml:space="preserve">the increase in selling, general and administrative expenses discussed above under </w:t>
      </w:r>
      <w:r>
        <w:rPr>
          <w:rFonts w:ascii="Times New Roman;serif" w:hAnsi="Times New Roman;serif"/>
          <w:b w:val="false"/>
          <w:i/>
          <w:color w:val="000000"/>
          <w:sz w:val="20"/>
        </w:rPr>
        <w:t>Total Operating Expenses</w:t>
      </w:r>
      <w:r>
        <w:rPr>
          <w:color w:val="000000"/>
        </w:rPr>
        <w:t xml:space="preserve"> </w:t>
      </w:r>
      <w:r>
        <w:rPr>
          <w:rFonts w:ascii="Times New Roman;serif" w:hAnsi="Times New Roman;serif"/>
          <w:b w:val="false"/>
          <w:color w:val="000000"/>
          <w:sz w:val="20"/>
        </w:rPr>
        <w:t xml:space="preserve">and the decrease in interest income, net discussed above in </w:t>
      </w:r>
      <w:r>
        <w:rPr>
          <w:rFonts w:ascii="Times New Roman;serif" w:hAnsi="Times New Roman;serif"/>
          <w:b w:val="false"/>
          <w:i/>
          <w:color w:val="000000"/>
          <w:sz w:val="20"/>
        </w:rPr>
        <w:t>Other Income and Expense</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Since our inception, and through March 2021, we financed our operations primarily through proceeds from the sale of our royalty rights, commercial sales of TIBSOVO®, funding received from our collaboration agreements, private placements of our preferred stock, our initial public offering of our common stock and concurrent private placement of common stock to an affiliate of Celgene, and our follow-on public offerings. Following the sale of our oncology business to Servier in March 2021, we have financed and expect to continue to finance our operations primarily through cash on hand, potential royalty payments with respect to the Retained Earn-Out Rights, the actual and potential future sales of PYRUKYND® and AQVESME™ and, potentially, collaborations, strategic alliances, licensing arrangements and other nondilutive strategic transactions. In addition, we may pursue opportunistic debt offerings, and equity or equity-linked offerings.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2021, we completed the sale of our oncology business to Servier. The transaction included the sale of our entire oncology business, including our clinical-stage product candidate vorasidenib and the Vorasidenib Royalty Rights. The Vorasidenib Royalty Rights are referred to as contingent payments and recognized as income when realizable.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2024, we entered into a purchase and sale agreement to sell the Vorasidenib Royalty Rights to Royalty Pharma. The sale was contingent upon FDA approval of vorasidenib and other customary closing conditions.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Upon consummation of the sale in August 2024, Royalty Pharma acquired 100% of the Vorasidenib Royalty Rights payments made by Servier on account of up to $1.0 billion in U.S. net sales for each calendar year. In addition, any such Vorasidenib Royalty Rights payments made by Servier on account of U.S. net sales in each calendar year in excess of $1.0 billion will be split, with Royalty Pharma having the rights to a 12% earn-out on those excess payments and Agios retaining the rights to a 3% earn-out on those excess payments, or the Retained Earn-Out Rights. Royalty income related to the Retained Earn-Out Rights, if any, will be recognized in the period when realizable.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cash, cash equivalents and marketable securities balance was $1.0 billion at June 30, 2026. The Retained Earn-Out Rights discussed above are our only committed potential external sources of funds. We cannot predict what success, if any, Servier may have in the United States with respect to the sale of vorasidenib, and consequently, we cannot estimate the amount of payments, if any, we may receive on account of the Retained Earn-Out Rights.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cash flows for the six months ended June 30, 2026 and 2025:</w:t>
      </w:r>
    </w:p>
    <w:tbl>
      <w:tblPr>
        <w:tblW w:w="6279" w:type="dxa"/>
        <w:jc w:val="left"/>
        <w:tblInd w:w="0" w:type="dxa"/>
        <w:tblLayout w:type="fixed"/>
        <w:tblCellMar>
          <w:top w:w="28" w:type="dxa"/>
          <w:left w:w="28" w:type="dxa"/>
          <w:bottom w:w="28" w:type="dxa"/>
          <w:right w:w="28" w:type="dxa"/>
        </w:tblCellMar>
      </w:tblPr>
      <w:tblGrid>
        <w:gridCol w:w="1257"/>
        <w:gridCol w:w="1103"/>
        <w:gridCol w:w="1105"/>
        <w:gridCol w:w="211"/>
        <w:gridCol w:w="901"/>
        <w:gridCol w:w="109"/>
        <w:gridCol w:w="109"/>
        <w:gridCol w:w="109"/>
        <w:gridCol w:w="109"/>
        <w:gridCol w:w="211"/>
        <w:gridCol w:w="901"/>
        <w:gridCol w:w="154"/>
      </w:tblGrid>
      <w:tr>
        <w:trPr/>
        <w:tc>
          <w:tcPr>
            <w:tcW w:w="125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(188,613)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10,517 </w:t>
            </w:r>
          </w:p>
        </w:tc>
        <w:tc>
          <w:tcPr>
            <w:tcW w:w="109"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54" w:type="dxa"/>
            <w:tcBorders>
              <w:top w:val="single" w:sz="8" w:space="0" w:color="000000"/>
              <w:bottom w:val="single" w:sz="12"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both"/>
        <w:rPr/>
      </w:pPr>
      <w:r>
        <w:rPr>
          <w:rFonts w:ascii="Times New Roman;serif" w:hAnsi="Times New Roman;serif"/>
          <w:b w:val="false"/>
          <w:i/>
          <w:color w:val="000000"/>
          <w:sz w:val="20"/>
        </w:rPr>
        <w:t>Net cash used in operating activities.</w:t>
      </w:r>
      <w:r>
        <w:rPr>
          <w:color w:val="000000"/>
        </w:rPr>
        <w:t xml:space="preserve"> </w:t>
      </w:r>
      <w:r>
        <w:rPr>
          <w:rFonts w:ascii="Times New Roman;serif" w:hAnsi="Times New Roman;serif"/>
          <w:b w:val="false"/>
          <w:color w:val="000000"/>
          <w:sz w:val="20"/>
        </w:rPr>
        <w:t xml:space="preserve">Cash used in operating activities of $176.2 million during the six months ended June 30, 2026 was primarily due to operating expenses driven by research and development costs described above under </w:t>
      </w: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partially offset by cash received from product revenues of $56.2 million and interest income of $22.1 million.</w:t>
      </w:r>
    </w:p>
    <w:p>
      <w:pPr>
        <w:pStyle w:val="TextBody"/>
        <w:bidi w:val="0"/>
        <w:spacing w:lineRule="auto" w:line="268" w:before="0" w:after="120"/>
        <w:jc w:val="both"/>
        <w:rPr/>
      </w:pPr>
      <w:r>
        <w:rPr>
          <w:rFonts w:ascii="Times New Roman;serif" w:hAnsi="Times New Roman;serif"/>
          <w:b w:val="false"/>
          <w:color w:val="000000"/>
          <w:sz w:val="20"/>
        </w:rPr>
        <w:t xml:space="preserve">Cash used in operating activities of $188.6 million during the six months ended June 30, 2025 was primarily due to operating expenses driven by research and development costs described above under </w:t>
      </w: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xml:space="preserve">, partially offset by cash received from </w:t>
      </w:r>
      <w:r>
        <w:rPr>
          <w:rFonts w:ascii="Times New Roman;serif" w:hAnsi="Times New Roman;serif"/>
          <w:b w:val="false"/>
          <w:color w:val="000000"/>
          <w:sz w:val="20"/>
          <w:shd w:fill="FFFFFF" w:val="clear"/>
        </w:rPr>
        <w:t>interest income of $31.5 million and product revenues of $22.0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68" w:before="0" w:after="120"/>
        <w:jc w:val="both"/>
        <w:rPr/>
      </w:pPr>
      <w:r>
        <w:rPr>
          <w:rFonts w:ascii="Times New Roman;serif" w:hAnsi="Times New Roman;serif"/>
          <w:b w:val="false"/>
          <w:i/>
          <w:color w:val="000000"/>
          <w:sz w:val="20"/>
        </w:rPr>
        <w:t>Net cash provided by investing activities</w:t>
      </w:r>
      <w:r>
        <w:rPr>
          <w:rFonts w:ascii="Times New Roman;serif" w:hAnsi="Times New Roman;serif"/>
          <w:b w:val="false"/>
          <w:color w:val="000000"/>
          <w:sz w:val="20"/>
        </w:rPr>
        <w:t>. Cash provided by investing activities of $181.5 million during the six months ended June 30, 2026 was primarily due to higher proceeds from maturities and sales of marketable securities than purchases of marketable securities.</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of $191.6 million during the six months ended June 30, 2025 was primarily due to higher proceeds from maturities and sales of marketable securities than purchases of marketable securities.</w:t>
      </w:r>
    </w:p>
    <w:p>
      <w:pPr>
        <w:pStyle w:val="TextBody"/>
        <w:bidi w:val="0"/>
        <w:spacing w:lineRule="auto" w:line="268" w:before="0" w:after="0"/>
        <w:jc w:val="both"/>
        <w:rPr/>
      </w:pPr>
      <w:r>
        <w:rPr>
          <w:rFonts w:ascii="Times New Roman;serif" w:hAnsi="Times New Roman;serif"/>
          <w:b w:val="false"/>
          <w:i/>
          <w:color w:val="000000"/>
          <w:sz w:val="20"/>
        </w:rPr>
        <w:t>Net cash provided by financing activities</w:t>
      </w:r>
      <w:r>
        <w:rPr>
          <w:rFonts w:ascii="Times New Roman;serif" w:hAnsi="Times New Roman;serif"/>
          <w:b w:val="false"/>
          <w:color w:val="000000"/>
          <w:sz w:val="20"/>
        </w:rPr>
        <w:t xml:space="preserve">. Cash provided by financing activities of $5.2 million during the six months ended June 30, 2026 was due to net proceeds received from stock option exercises and purchases made pursuant to our Amended and Restated 2013 Employee Stock Purchase Plan, or 2013 ESPP.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of $1.7 million during the six months ended June 30, 2025, was due to net proceeds received from stock option exercises and purchases made pursuant to our 2013 ESPP.</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our expenses to increase as we continue the research, development and clinical trials of, seek marketing approvals for, and commercialize our product candidates in our portfolio, including as we continue to commercialize PYRUKYND® and AQVESME™ for their approved indications. If we obtain additional marketing approvals for mitapivat in SCD or in other indications, or for any of our other product candidates, we expect to incur significant commercialization expenses related to product sales, marketing, manufacturing and distribution.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that our existing cash, cash equivalents and marketable securities as of June 30, 2026, together with anticipated product revenue and interest income, will provide the financial independence to execute the U.S. commercial launch of AQVESME™ in thalassemia, prepare for the potential U.S. commercial launch of mitapivat in SCD, advance our existing clinical programs, and opportunistically expand our pipeline through both internally and externally discovered assets. Our expectations regarding our long-term funding requirements are based on assumptions that may prove to be wrong, and we may need additional capital resources to fund our operating plans and capital expenditure requirements.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amount and timing of future revenue received from commercial sales of PYRUKYND®, AQVESME™ or any of our other product candidates for which we may receive marketing approval;</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amount of payments, if any, we may receive on account of the Retained Earn-Out Rights;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 xml:space="preserve">the costs and timing of our ongoing and future commercialization activities, including product manufacturing, sales, marketing and distribution for PYRUKYND® and AQVESME™ in the approved jurisdictions and indications and for any product candidate for which we may receive approval; </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scope, progress, results and costs of preclinical development, laboratory testing and clinical trials for our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costs associated with in-licensing or acquiring assets for pipeline growth, including the amount and timing of future milestone and royalty payments potentially payable to Alnylam and Oscotec pursuant to the respective license agreements;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our ability to establish and maintain collaborations on favorable terms, if at all;</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 xml:space="preserve">our ability to successfully execute on our strategic plans; </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operational delays due to public health epidemics; and</w:t>
      </w:r>
    </w:p>
    <w:p>
      <w:pPr>
        <w:pStyle w:val="TextBody"/>
        <w:bidi w:val="0"/>
        <w:spacing w:lineRule="auto" w:line="288" w:before="60" w:after="180"/>
        <w:ind w:left="0" w:right="0" w:hanging="540"/>
        <w:jc w:val="both"/>
        <w:rPr/>
      </w:pPr>
      <w:r>
        <w:rPr>
          <w:color w:val="000000"/>
        </w:rPr>
        <w:t>•</w:t>
      </w:r>
      <w:r>
        <w:rPr>
          <w:rFonts w:ascii="Times New Roman;serif" w:hAnsi="Times New Roman;serif"/>
          <w:b w:val="false"/>
          <w:color w:val="000000"/>
          <w:sz w:val="20"/>
        </w:rPr>
        <w:t>operational delays, disruptions and/or increased costs associated with global economic and political developments.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product revenue, we expect to finance our cash needs primarily through cash on hand, potential royalty payments with respect to the Retained Earn-Out Rights, the actual and potential future sales of PYRUKYND® and AQVESME™ and, potentially, collaborations, strategic alliances, licensing arrangements and other nondilutive strategic transactions. In addition, we may pursue opportunistic debt offerings, and equity or equity-linked offerings. We do not have any committed external source of funds other than the Retained Earn-Out Rights.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ability to take specific actions, such as incurring additional debt, selling or licensing our assets, making capital expenditures or declaring dividends.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on attractive terms, we may be required to delay, limit, reduce or terminate our product development or future commercialization efforts, or grant rights to develop and market product candidates that we would otherwise prefer to develop and market ourselves.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120"/>
        <w:jc w:val="both"/>
        <w:rPr/>
      </w:pPr>
      <w:r>
        <w:rPr>
          <w:rFonts w:ascii="Times New Roman;serif" w:hAnsi="Times New Roman;serif"/>
          <w:b w:val="false"/>
          <w:color w:val="000000"/>
          <w:sz w:val="20"/>
        </w:rPr>
        <w:t>In June 2026, Agios entered into a license agreement with Oscotec as discussed above under </w:t>
      </w:r>
      <w:hyperlink w:anchor="if99e15f3b853459c94ad88039f898d82_82">
        <w:r>
          <w:rPr>
            <w:rStyle w:val="InternetLink"/>
            <w:rFonts w:ascii="Times New Roman;serif" w:hAnsi="Times New Roman;serif"/>
            <w:b w:val="false"/>
            <w:i/>
            <w:strike w:val="false"/>
            <w:dstrike w:val="false"/>
            <w:color w:val="000000"/>
            <w:sz w:val="20"/>
            <w:u w:val="none"/>
            <w:effect w:val="none"/>
          </w:rPr>
          <w:t>Overview</w:t>
        </w:r>
      </w:hyperlink>
      <w:r>
        <w:rPr>
          <w:rFonts w:ascii="Times New Roman;serif" w:hAnsi="Times New Roman;serif"/>
          <w:b w:val="false"/>
          <w:color w:val="000000"/>
          <w:sz w:val="20"/>
        </w:rPr>
        <w:t>. Under the license agreement, Agios is responsible to pay up to $140.0 million in potential development and regulatory milestones, in addition to sales milestones as well as tiered royalties on annual net sales, if any, of licensed products, which may be subject to specified reductions and offsets.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other material changes to our contractual obligations and commitments described under Management's Discussion and Analysis of Financial Condition and Results of Operations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related to changes in interest rates. As of June 30, 2026 and December 31, 2025, we had cash, cash equivalents and marketable securities of $1.0 billion and $1.2 billion, respectively, consisting primarily of investments in U.S. Treasuries, government securities, corporate debt securities and certificates of deposit. Our primary exposure to market risk is interest rate sensitivity, which is affected by changes in the general level of U.S. interest rates, particularly because our investments are primarily in short-term marketable securities. Our marketable securities are subject to interest rate risk and could fall in value if market interest rates increase. Due to the short-term duration of our investment portfolio and the low risk profile of our investments, we do not believe an immediate and uniform 100 basis point change in interest rates would have a material effect on the fair market value of our investment portfolio.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also exposed to market risk related to changes in foreign currency exchange rates. We have contracts with CROs and contract manufacturing organizations that are located in Asia and Europe and are denominated in foreign currencies. We are subject to fluctuations in foreign currency rates in connection with these agreements. We do not currently hedge our foreign currency exchange rate risk. As of June 30, 2026 and December 31, 2025, we had minimal or no liabilities denominated in foreign currencies.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Based on that evaluation of our disclosure controls and procedures as of June 30, 2026, our principal executive officer and principal financial officer concluded that our disclosure controls and procedures as of such date are effective at the reasonable assurance level.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it files or submits under the Exchange Act is accumulated and communicated to its management, including its principal executive officer and principal financial officer,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the fiscal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pPr>
      <w:r>
        <w:rPr>
          <w:rFonts w:ascii="Times New Roman;serif" w:hAnsi="Times New Roman;serif"/>
          <w:b w:val="false"/>
          <w:i/>
          <w:color w:val="000000"/>
          <w:sz w:val="20"/>
        </w:rPr>
        <w:t xml:space="preserve">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w:t>
      </w:r>
      <w:hyperlink w:anchor="if99e15f3b853459c94ad88039f898d82_79">
        <w:r>
          <w:rPr>
            <w:rStyle w:val="InternetLink"/>
            <w:rFonts w:ascii="Times New Roman;serif" w:hAnsi="Times New Roman;serif"/>
            <w:b w:val="false"/>
            <w:i/>
            <w:strike w:val="false"/>
            <w:dstrike w:val="false"/>
            <w:color w:val="000000"/>
            <w:sz w:val="20"/>
            <w:u w:val="none"/>
            <w:effect w:val="none"/>
          </w:rPr>
          <w:t>17</w:t>
        </w:r>
      </w:hyperlink>
      <w:r>
        <w:rPr>
          <w:rFonts w:ascii="Times New Roman;serif" w:hAnsi="Times New Roman;serif"/>
          <w:b w:val="false"/>
          <w:i/>
          <w:color w:val="000000"/>
          <w:sz w:val="20"/>
        </w:rPr>
        <w:t xml:space="preserve">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Risks Related to the Discovery, Development, and Commercialization of our Products and Product Candidates</w:t>
      </w:r>
    </w:p>
    <w:p>
      <w:pPr>
        <w:pStyle w:val="TextBody"/>
        <w:bidi w:val="0"/>
        <w:spacing w:lineRule="auto" w:line="276" w:before="0" w:after="60"/>
        <w:jc w:val="both"/>
        <w:rPr>
          <w:rFonts w:ascii="Times New Roman;serif" w:hAnsi="Times New Roman;serif"/>
          <w:b/>
          <w:i/>
          <w:color w:val="000000"/>
          <w:sz w:val="20"/>
        </w:rPr>
      </w:pPr>
      <w:r>
        <w:rPr>
          <w:rFonts w:ascii="Times New Roman;serif" w:hAnsi="Times New Roman;serif"/>
          <w:b/>
          <w:i/>
          <w:color w:val="000000"/>
          <w:sz w:val="20"/>
        </w:rPr>
        <w:t>If we do not successfully commercialize PYRUKYND®, AQVESME™ and other products for which we receive approval, our prospects may be substantially harmed.</w:t>
      </w:r>
    </w:p>
    <w:p>
      <w:pPr>
        <w:pStyle w:val="TextBody"/>
        <w:bidi w:val="0"/>
        <w:spacing w:lineRule="auto" w:line="288" w:before="0" w:after="180"/>
        <w:jc w:val="both"/>
        <w:rPr/>
      </w:pPr>
      <w:r>
        <w:rPr>
          <w:rFonts w:ascii="Times New Roman;serif" w:hAnsi="Times New Roman;serif"/>
          <w:b w:val="false"/>
          <w:color w:val="000000"/>
          <w:sz w:val="20"/>
        </w:rPr>
        <w:t xml:space="preserve">Our ability to generate meaningful revenue from PYRUKYND® and AQVESME™ will depend heavily on our successful development and commercialization of the product. We generated $65.5 million and $21.2 million of net product revenues from sales of PYRUKYND® and AQVESME™ in the six months ended June 30, 2026 and 2025, respectively. We commercially launched AQVESME™ in the United States in late January 2026. In connection with our regulatory approvals in the EU, Great Britain, Saudi Arabia and the United Arab Emirates, we are currently providing access to PYRUKYND® through the Avanzanite Agreement and the NewBridge Agreement, as applicable, and on a for charge and free of charge basis for eligible patients in those jurisdictions and other jurisdictions through a global managed access program. Revenues associated with the NewBridge Agreement, the Avanzanite Agreement and our global managed access program are included in the rest of world product revenue line within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We continue to evaluate other options for the commercialization of PYRUKYND® outside of the United States, including through exploring potential partnership opportunities.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development and commercialization of PYRUKYND® or AQVESME™ could be unsuccessful if:</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medical community and third-party payors do not accept PYRUKYND® or AQVESME™ as safe, efficacious and cost-effective in the approved jurisdictions and indications;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fail to maintain the necessary financial resources and expertise to manufacture, market and sell PYRUKYND® or AQVESME™;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we fail to develop, implement and maintain effective marketing, sales and distribution strategies and operations for the development and commercialization of PYRUKYND® or AQVESME™, including PYRUKYND® under the NewBridge Agreement and the Avanzanite Agreement;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fail to continue to develop, validate and maintain commercially viable manufacturing processes for PYRUKYND® or AQVESME™ that are compliant with current good manufacturing practices, or cGMP;</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fail to successfully obtain third party reimbursement and generate and sustain commercial demand that results in expected sales of PYRUKYND® or AQVESME™;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PYRUKYND® or AQVESME™ become subject to unfavorable pricing regulations and third-party reimbursement practices;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encounter any third-party patent interference, derivation, inter partes review, post-grant review, reexamination or patent infringement claims with respect to PYRUKYND® or AQVESME™;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we fail to comply with regulatory and legal requirements applicable to the sale of PYRUKYND® or AQVESME™;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competing drug products are approved for the same indications or in the same jurisdictions as PYRUKYND® or AQVESME™;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significant safety, manufacturing and/or quality risks are identified;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PYRUKYND® or AQVESME™ fail to gain and/or maintain sufficient market acceptance by physicians, patients, healthcare payors and others in the medical community;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significant number of eligible patients are not prescribed PYRUKYND® or AQVESME™ and, if they are, such patients do not stay on treatment;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product does not demonstrate acceptable safety and efficacy in current or future clinical trials, or otherwise does not meet applicable regulatory standards for approval in other indications; or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requirements of the AQVESME™ REMS make it more difficult and/or time-consuming for physicians to prescribe AQVESME™ and for patients to subsequently use AQVESME™.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If we experience significant delays or an inability to successfully develop and commercialize PYRUKYND® and AQVESME™, our business would be materially harmed.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depend heavily on the success of our clinical-stage product candidates, including the potential approval of mitapivat for the treatment of SCD in the United States and in other jurisdictions. Clinical trials of our product candidates may not be successful for a number of important reasons. If we or our collaborators are unable to commercialize our product candidates or experience significant delays in doing so, our business will be materially harmed.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invested a significant portion of our efforts and financial resources in the identification of our product candidates and the development of our most advanced clinical programs. Our ability to generate meaningful product revenue will depend heavily on the successful clinical development and eventual commercialization of our current and any future product candidates, including mitapivat. We cannot be certain that we will obtain marketing approval of mitapivat for SCD in the United States or in other jurisdictions, nor can we be certain that we will obtain marketing approval of any other product candidate for any other indication.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and any collaborators, are not permitted to commercialize, market, promote or sell any product candidate in the United States without obtaining marketing approval from the FDA. Foreign regulatory authorities, such as the EMA, impose similar requirements in foreign jurisdictions. Before obtaining marketing approval from regulatory authorities for the sale of our product candidates, we must complete preclinical development and then conduct extensive clinical trials to demonstrate the safety and efficacy of our product candidates in humans.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Clinical testing is expensive, difficult to design and implement, can take many years to complete and is uncertain as to outcome. We cannot guarantee that any clinical trials will be conducted as planned or completed on schedule, if at all. The clinical development of our product candidates is susceptible to the risk of failure inherent at any stage of product development. Moreover, we, or any collaborators, may experience any of a number of possible unforeseen adverse events in connection with clinical trials, many of which are beyond our control, including: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or our collaborators, may fail to demonstrate efficacy in a clinical trial or across a broad population of patients;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For example, many compounds that initially showed promise in earlier stage testing for treating specific indications have later been found to cause side effects that prevented further development of the compound;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product candidates may have undesirable side effects or other unexpected characteristics or otherwise expose participants to unacceptable health risks, causing us, our collaborators or our investigators, regulators or institutional review boards or the data safety monitoring board for such trial to halt, delay, interrupt, suspend or terminate the trials or cause us, or any collaborators, to abandon or limit development of that product candidate to certain uses or subpopulations in which the undesirable side effects or other characteristics are less prevalent, less severe or more acceptable from a risk-benefit perspective;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if our product candidates have undesirable side effects, it could result in a more restrictive label or the addition of safety warnings, or it could result in the delay or denial of marketing approval by the FDA or comparable foreign regulatory authorities. For example, the U.S. Prescribing Information, or USPI, for PYRUKYND® includes a warning regarding the risk of potential hepatocellular injury, and the USPI for AQVESME™ contains a boxed warning regarding the potential for hepatocellular injury. In addition, the FDA has required and might in the future require the development and submission of REMS for our products. For example, to mitigate the risk of hepatocellular injury, AQVESME™ is available only through the REMS approved by the FDA;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clinical trials of our product candidates may produce negative or inconclusive results, and we, or our collaborators, may decide, or regulators may require us, to conduct additional clinical trials, including testing in more subjects, or abandon product development programs;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regulators or institutional review boards may not authorize us, our collaborators or our investigators to commence a clinical trial or conduct a clinical trial at a prospective trial site;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or our collaborators may have delays in reaching or failing to reach agreement on acceptable clinical trial contracts or clinical trial protocols with prospective trial sites;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number of patients required for clinical trials of our product candidates may be larger than we anticipate; enrollment in these clinical trials, which may be particularly challenging for some of the orphan diseases we target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rare disease programs, may be slower than we anticipate; or participants may drop out of these clinical trials at a higher rate than we anticipate;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third-party contractors used by us or our collaborators may fail to comply with regulatory requirements or meet their contractual obligations in a timely manner, or at all;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significant preclinical study or clinical trial delays could shorten any periods during which we, or any collaborators, may have the exclusive right to commercialize our product candidates or allow our competitors, or the competitors of any collaborators, to bring products to market before we, or any collaborators, do;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 of clinical trials of our product candidates may be greater than anticipated;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supply or quality of our product candidates or other materials necessary to conduct clinical trials of our product candidates may be insufficient or inadequate.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2016, we withdrew our IND for AG-519, our second PK activator, following verbal notification of a clinical hold from the FDA relating to a previously disclosed case of drug-induced cholestatic hepatitis which occurred in our phase 1 clinical trial of AG-519 in healthy volunteers. Although these decisions and this hepatic adverse event finding do not affect our ongoing clinical trials, we cannot provide any assurances that there will not be other treatment-related severe adverse events in our other clinical trials, or that our other trials will not be placed on clinical hold in the future.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failure to successfully complete clinical trials of our product candidates and obtain regulatory approval to market any of our product candidates could significantly harm our business.</w:t>
      </w:r>
    </w:p>
    <w:p>
      <w:pPr>
        <w:pStyle w:val="TextBody"/>
        <w:bidi w:val="0"/>
        <w:spacing w:lineRule="auto" w:line="288" w:before="0" w:after="180"/>
        <w:jc w:val="both"/>
        <w:rPr/>
      </w:pPr>
      <w:r>
        <w:rPr>
          <w:rFonts w:ascii="Times New Roman;serif" w:hAnsi="Times New Roman;serif"/>
          <w:b/>
          <w:i/>
          <w:color w:val="000000"/>
          <w:sz w:val="20"/>
        </w:rPr>
        <w:t>PYRUKYND®, AQVESME™</w:t>
      </w:r>
      <w:r>
        <w:rPr>
          <w:color w:val="000000"/>
        </w:rPr>
        <w:t xml:space="preserve"> </w:t>
      </w:r>
      <w:r>
        <w:rPr>
          <w:rFonts w:ascii="Times New Roman;serif" w:hAnsi="Times New Roman;serif"/>
          <w:b/>
          <w:i/>
          <w:color w:val="000000"/>
          <w:sz w:val="20"/>
        </w:rPr>
        <w:t>or any of our product candidates that may receive marketing approval in the future, may fail to achieve the degree of market acceptance by physicians, patients, healthcare payors and others in the medical community necessary for commercial success.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PYRUKYND®, AQVESME™ or any of our product candidates that may receive marketing approval in the future, may fail to gain and/or maintain sufficient market acceptance by physicians, patients, healthcare payors and others in the medical community, which could limit our ability to generate product revenue and impact our ability to become profitable. The degree of market acceptance of PYRUKYND®, AQVESME™ and any of our product candidates, if approved for commercial sale, will depend on a number of factors, including: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efficacy and potential advantages compared to alternative treatments;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prevalence and severity of any side effects;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ability to offer our medicines for sale at competitive prices;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convenience and ease of administration compared to alternative treatments;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willingness of the target patient population to try new therapies and of physicians to prescribe these therapies;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ensuring uninterrupted product supply;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strength of sales, marketing and distribution support, including under any distribution agreement with third parties;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sufficient third-party coverage or reimbursement;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product labeling or product insert requirements of the FDA or other regulatory authorities, including any limitations or warnings contained in a product’s approved labeling, such as the USPI for AQVESME™ containing a boxed warning regarding the potential for hepatocellular injury and the USPI for PYRUKYND® including warning regarding the risk of potential hepatocellular injury;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requirement to implement a REMS, such as the REMS required for AQVESME™. Failure of physicians, prescribers, pharmacies or patients to enroll in our REMS program or to successfully complete and comply with its requirements may result in regulatory action from the FDA or decreased sales of AQVESME™.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are unable to maintain sales and marketing capabilities or enter into agreements with third parties to sell and market our product candidates, we may not be successful in commercializing PYRUKYND®, AQVESME™ or any of our product candidates if they are approved.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limited experience in the sale, marketing and distribution of pharmaceutical products. To achieve commercial success for approved medicines for which we retain sales and marketing responsibilities, we must either continue to develop our sales and marketing organization or outsource these functions to other third parties. We have established sales and marketing capabilities to support our commercialization of PYRUKYND® for the treatment of hemolytic anemia in adults with PK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deficiency in the United States and expanded these capabilities to support the commercial launch of AQVESME™ for the treatment of anemia in adults with non-transfusion dependent and transfusion-dependent alpha- or beta-thalassemia in the United States.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need to further build our sales and marketing infrastructure, either directly or with third-party partners to commercialize PYRUKYND® in additional markets outside of the United States, or to commercialize any of our other product candidates for which we obtain marketing approval. For example, we have entered into distribution agreements with third parties for the commercialization of PYRUKYND® in certain jurisdictions outside of the United States, including the NewBridge Agreement and the Avanzanite Agreement.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risks involved with both establishing our own sales and marketing capabilities and entering into arrangements with third parties to perform these services. For example, recruiting and training a sales force is expensive,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Factors that may inhibit our efforts to commercialize our medicines on our own include: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inability to recruit and retain adequate numbers of effective sales and marketing personnel;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inability of sales personnel to obtain access to physicians or persuade adequate numbers of physicians to prescribe any future medicines;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lack of complementary medicines to be offered by sales personnel, which may put us at a competitive disadvantage relative to companies with more extensive product lines;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unforeseen costs and expenses associated with creating an independent sales and marketing organization.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enter into arrangements with third parties to perform sales, marketing and distribution services, our product revenue or the profitability of product revenue to us are likely to be lower than if we were to market and sell any medicines that we develop ourselves. In addition, we may not be successful in entering into such arrangements with third parties or we may be unable to do so on terms that are favorable to us. We likely will have little control over such third parties, and any of them may fail to devote the necessary resources and attention to sell and market our medicines effectively. If we do not establish or maintain sales and marketing capabilities successfully, either on our own or in collaboration with third parties, we will not be successful in commercializing PYRUKYND®, AQVESME™ or any of our product candidates for which we obtain marketing approval.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engage in in-licensing transactions or acquisitions that could disrupt our business, cause dilution to our stockholders or reduce our financial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engage in transactions to in-license products, technologies or assets or to acquire other products, technologies, assets or businesses. As part of our strategy, we plan to prioritize in-licensing or acquiring assets for future pipeline growth. For example, in July 2023, we entered into a license agreement with Alnylam for the development and commercialization of products containing or comprised of an siRNA development candidate discovered by Alnylam and targeting the TMPRSS6 gene, and we are developing a product candidate, AG-236, for the potential treatment of patients with PV, and in June 2026, we entered into a license agreement with Oscotec for the development and commercialization of cevidoplenib, a novel, highly selective, oral SYK inhibitor for the potential treatment of ITP and other autoimmune indications.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successfully in-license or acquire assets and develop product candidates following such transactions is unproven. If we do identify additional suitable candidates or assets for in-licensing transactions or acquisitions, we may not be able to make such transactions on favorable terms, or at all. Such transactions may require us to relinquish rights to develop product candidates in certain indications, limit our ability to pursue certain targets or require us to make significant milestone or royalty payments to third parties upon achievement of certain events. For example, we are responsible for paying up to $130.0 million in potential development and regulatory milestones, in addition to sales milestones as well as tiered royalties on annual net sales, if any, of any licensed products, under our license agreement with Alnylam. We are also responsible for paying up to $140.0 million in potential development and regulatory milestone payments, in addition to sales milestone payments as well as tiered royalties on future net sales, if any, of licensed products under our license agreement with Oscotec. Further, any in-licensing transaction or acquisitions we undertake may not strengthen our competitive position, and these transactions may be viewed negatively by customers or investors. We may decide to incur debt in connection with an acquisition or an in-licensing transaction or issue our common stock or other equity securities to the stockholders of the counterparty, which would reduce the percentage ownership of our existing stockholders. We could incur losses resulting from undiscovered liabilities of the acquired business, product or technology that are not covered by the indemnification we may obtain from the seller. In addition,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be able to successfully integrate the acquired personnel, technologies and operations into our existing business in an effective, timely and non-disruptive manner. Such transactions may also divert management attention from day-to-day responsibilities, increase our expenses and reduce our cash available for operations and other uses. We cannot ensure that following any transaction we would achieve the expected synergies to justify the transactions. We cannot predict the number, timing or size of future transactions or the effect that any such transactions might have on our operating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we experience delays or difficulties in the enrollment of patients in clinical trials, our receipt of necessary regulatory approvals could be delayed or prevented.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or our collaborators may not be able to initiate, continue or complete clinical trials for our product candidates if we or they are unable to locate and enroll a sufficient number of eligible patients to participate in these trials as required by the FDA or analogous regulatory authorities outside the United States.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Patient enrollment is affected by factors including: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prevalence and severity of the disease under investigation;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availability and efficacy of approved medications for the disease under investigation;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eligibility criteria for the study in question;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perceived risks and benefits of the product candidate under study;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efforts to facilitate timely enrollment in clinical trials;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patient referral practices of physicians;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ability to monitor patients adequately during and after treatment;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proximity and availability of clinical trial sites for prospective patients;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impact of any health epidemics, pandemics or other contagious outbreaks or geopolitical events, such as war.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focus our development activities on genetically or biomarker defined patients most likely to respond to our therapies. As a result, the potential patient populations for our clinical trials are narrowed, and we may experience difficulties in identifying and enrolling a sufficient number of patients in our clinical trials.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some of our competitors may have ongoing or planned clinical trials for product candidates that would treat the same indications as our product candidates, and patients who would otherwise be eligible for our clinical trials may instead enroll in clinical trials of our competitors’ product candidates. Competition for eligible patients may make it particularly difficult for us to enroll a sufficient number of patients to complete our clinical trials for our product candidates in a timely and cost-effective manner.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Ongoing or unanticipated geopolitical events in countries where we may have clinical trial sites could also negatively impact our ability to initiate, enroll and retain patients in, and conduct clinical trials.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rely on CROs and clinical trial sites to ensure the proper and timely conduct of our clinical trials, and while we have agreements governing their committed activities, we have limited influence over their actual performance. Our or our collaborators’ inability to enroll a sufficient number of patients for our clinical trials would result in significant delays or may require us to abandon one or more clinical trials altogether, or result in increased development costs for our product candidates, which could have an adverse effect on our business, results of operations and financial condition.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Results of preclinical studies and early clinical trials may not be predictive of results of later-stage clinical trials.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outcome of our preclinical studies and early clinical trials may not be predictive of the success of our later clinical trials, and positive results of our completed clinical trials do not necessarily predict success in our future clinical trials. Many companies in the pharmaceutical and biotechnology industries have suffered significant setbacks in late-stage clinical trials after achieving positive results in earlier stages of development, and we could face similar setbacks. The design of a clinical trial can determine whether its results will support approval of a product and flaws in the design of a clinical trial may not become apparent until the clinical trial is well advanced.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our collaborators believe that the results of clinical trials for our product candidates warrant marketing approval, the FDA or comparable foreign regulatory authorities may disagree and may not grant marketing approval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If we fail to receive positive results in clinical trials of our product candidates, the development timeline and regulatory approval and commercialization prospects for our most advanced product candidates, and, correspondingly, our business and financial prospects would be negatively impacted.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Interim and preliminary data from clinical trials that we announce or publish from time to time may change as more patient data becomes available and are subject to audit and verification procedures that could result in material changes in the final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may announce or publish interim or preliminary data from our clinical trials. Interim or preliminary data from clinical trials are subject to the risk that one or more of the clinical outcomes may materially change as patient enrollment continues and more patient data become available. We also make assumptions, estimations, calculations, and conclusions as part of our analyses of data, and we may not have received or had the opportunity to fully evaluate all data. Preliminary or interim data also remain subject to audit and verification procedures that may result in the final data being materially different from the preliminary data we have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conduct clinical trials at sites outside the United States. The FDA may not accept data from trials conducted in such locations, and the conduct of trials outside the United States could subject us to additional delays and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 and plan to conduct one or more clinical trials with one or more trial sites that are located outside the United States. The acceptance by the FDA or other regulatory authorities of study data from clinical trials conducted outside their jurisdiction may be subject to certain conditions or may not be accepted at all.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may result in current or future product candidates that we may develop not receiving approval for commercialization in the applicable jurisdiction.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Conducting clinical trials outside the United States also exposes us to additional risks, including risks associated with foreign exchange fluctuations, compliance with foreign manufacturing, customs, shipment and storage requirements, cultural differences in medical practice and clinical research, diminished protection of intellectual property in some countries, and interruptions or delays in our trials resulting from geopolitical events, such as war or terrorism.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medicines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or others may later discover that PYRUKYND®, AQVESME™ or any of our product candidates that may receive marketing approval in the future, is less effective than previously believed or causes undesirable side effects that were not previously identified, which could compromise our ability, or that of any collaborators, to market the product.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our clinical trials, or those of any collaborators, may indicate an apparent positive effect of a product candidate that is greater than the actual positive effect, if any, or alternatively fail to identify undesirable side effects.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following approval of a product candidate, including PYRUKYND® and AQVESME™, we, or others, discover that the product is less effective than previously believed or causes undesirable side effects that were not previously identified, any of the following adverse events could occur: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regulatory authorities may withdraw their approval of the product or seize the product;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or any collaborators, may be required to recall the product, change the way the product is administered or conduct additional clinical trials;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additional restrictions may be imposed on the marketing of, or the manufacturing processes for, the particular product;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may be subject to fines, injunctions or the imposition of civil or criminal penalties;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regulatory authorities may require the addition of warnings on the product label, require a REMS or modify an existing REMS;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or any collaborators, may be required to create a Medication Guide outlining the risks of the previously unidentified side effects for distribution to patients;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or any collaborators, could be sued and held liable for harm caused to patients;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product may become less competitive;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example, the USPI for PYRUKYND® includes a warning regarding the risk of potential hepatocellular injury, and the USPI for AQVESME™ contains a boxed warning regarding the potential for hepatocellular injury. In addition, to mitigate the risk of hepatocellular injury, AQVESME™ is available only through the REMS program approved by the FDA. If we are unable to comply with any REMS imposed on any of our products, we may face additional restrictions, limitations or substantial penalties, any of which may materially adversely affect our business and results of operations. We cannot predict whether the FDA will request, seek to require or ultimately require modifications to, or impose additional requirements on, the AQVESME™ REMS.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provide certain development estimates related to the development and regulatory approval of our product candidates, including mitapivat. If we do not achieve our projected development or regulatory approval estimates in the timeframes we announce and expect, the commercialization of our products may be delayed and, as a result, our stock price may decline.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we provide estimates related to the development of mitapivat and our other product candidates. We also estimate the timing of the anticipated accomplishment of various scientific, preclinical, clinical, regulatory and other product development goals. These estimates may include the commencement or completion of clinical trials, the timing of completing enrollment, the timing for reporting clinical trial results and the timing of submission of regulatory filings in various jurisdictions. From time to time, we may publicly announce our estimates, including the timing of certain milestones related to our product candidates. All of these estimates are and will be based on numerous assumptions. The actual results and timing of our preclinical studies, clinical trials and regulatory submissions can vary dramatically compared to our estimates, in some cases for reasons beyond our control. If our estimates change or we do not meet the timing of our estimates as publicly announced, or at all, the commercialization of our products may be delayed or never achieved and, as a result, our stock price may decline.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substantial competition, which may result in others discovering, developing or commercializing products before or more successfully than we do.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face competition with respect to PYRUKYND®, AQVESME™, mitapivat, AG-181, AG-236, cevidoplenib and our other product candidates, and we will face competition with respect to any product candidates that we may seek to develop or commercialize in the future. Potential competitors may include major pharmaceutical companies, specialty pharmaceutical companies, biotechnology companies, academic institutions, government agencies and other public and private research organizations that conduct research, seek patent protection and establish collaborative arrangements for research, development, manufacturing and commercialization. There are a number of large pharmaceutical and biotechnology companies that currently market and sell products or are pursuing the development of products for the treatment of the indications for which we are developing our product or our product candidates, such as PK deficiency, thalassemia, SCD, PKU, PV and ITP. For example, Merck and Bristol-Myers Squibb Company, or BMS, are marketing a therapy to treat beta-thalassemia, and are conducting a clinical trial for alpha thalassemia patients that are erythropoiesis-stimulating agent naïve and non-transfusion dependent; Geron Corporation has an FDA approved treatment for adults with transfusion-dependent anemia; Novartis International AG is marketing therapies for SCD, PV and ITP and has another molecule in clinical trials to treat SCD and ITP; Emmaus Life Sciences is marketing a therapy to treat SCD; BioMarin Pharmaceutical Inc. is marketing and conducting clinical trials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therapies to treat PKU; PTC has an approved treatment for PKU; Pfizer, CSL Behring, Beam Therapeutics, Inc., and Cellarity, Inc. are conducting clinical trials for therapies in SCD; Novo Nordisk A/S is conducting clinical trials for the treatment of alpha- and beta-thalassemia and SCD; Sanofi is marketing a therapy to treat ITP and conducting clinical trials for a therapy in SCD; Genetix Biotherapeutics Inc. (formerly bluebird bio) is marketing a gene therapy to treat transfusion-dependent beta-thalassemia and SCD; Vertex, with CRISPR, is marketing a gene therapy targeting SCD and transfusion-dependent beta-thalassemia; DISC Medicine, Inc., or DISC, is conducting a clinical trial for a potential treatment for SCD, beta thalassemia and PV; BMS is conducting clinical trials for a potential treatment for SCD; Argenx SE is marketing a therapy and conducting clinical trials for a therapy in ITP; Rigel Pharmaceuticals, Inc. is marketing a therapy to treat ITP; Takeda is conducting clinical trials for a potential treatment for ITP; Otsuka Pharmaceutical Co., Ltd., NGGT Inc., and Maze Therapeutics, Inc. are conducting clinical trials for potential treatments for PKU; PharmaEssentia Corp and Incyte Corporation are marketing therapies to treat PV, and Protagonist Therapeutics in collaboration with Takeda, Ionis in collaboration with Ono/Deciphera, Italfarmaco S.p.A., DISC, Merck, and Silence Therapeutics are developing therapies to treat PV; and a number of other biotechnology companies have product candidates in clinical development in similar indications as ours.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Competition may include PK activators, gene therapies and other therapeutic modalities that may offer efficacy, safety, convenience or other benefits relative to our products or product candidates. As a result, such therapies may provide significant competition to PYRUKYND®, AQVESME™ and any of our product candidates for which we obtain marketing approval.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competitors may develop products that are more effective, safer, more convenient or less costly than PYRUKYND®, AQVESME™ or any product candidates that we are developing or that would render PYRUKYND®, AQVESME™ or our product candidates obsolete or non-competitive. In addition, our competitors may develop new approaches, tools or methods that could provide them with a competitive advantage in identifying, developing or commercializing potential products. Our competitors may also obtain marketing approval from the FDA or other regulatory authorities for their products more rapidly than we may obtain approval for ours, which could result in our competitors establishing a strong market position before we are able to enter the market.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of our competitors have significantly greater financial resources and expertise in research and development, manufacturing, preclinical testing, conducting clinical trials, obtaining regulatory approvals and globally marketing approved products than we do. Mergers and acquisitions in the pharmaceutical and biotechnology industries may result in even more resources being concentrated among a smaller number of our competitors. Smaller and clinical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or in-licensing technologies complementary to, or necessary for, our programs.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If the FDA does not grant our products, if and when approved, appropriate periods of regulatory exclusivity before approving generic or follow-on versions of our products, the sales of our products could be adversely affected.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With FDA approval of an NDA, the product covered by the application is specified as a “reference-listed drug” in the FDA’s publication, “Approved Drug Products with Therapeutic Equivalence Evaluations,” or the Orange Book. Manufacturers may seek approval of generic versions of reference-listed drugs through submission of abbreviated new drug applications, or ANDAs, in the United States.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support of an ANDA, a generic manufacturer need not conduct clinical trials. Rather, the sponsor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reference-listed drug may be lost to the generic product.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manufacturer may also submit an NDA under section 505(b)(2) of the Federal Food, Drug and Cosmetic Act, or FDCA, that references the FDA’s prior approval of the innovator product or preclinical studies and/or clinical trials that were not conducted by, or for, the sponsor and for which the sponsor has not obtained a right of reference. A 505(b)(2) NDA product, or follow-on-product, may be for a new or improved version of the original reference listed drug.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FDA may not approve an ANDA or 505(b)(2) NDA until any applicable period of regulatory exclusivity for the reference-listed drug has expired, subject to certain exceptions.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event that a generic or follow-on manufacturer is somehow able to obtain FDA approval without adherence to the periods of regulatory exclusivity, the competition that our approved products may face from generic and follow-on versions could negatively impact our future revenue, profitability and cash flows and substantially limit our ability to obtain a return on our investments in those product candidates.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if there are patents listed for our drug products in the Orange Book, ANDAs and 505(b)(2) NDAs would be required to include a certification for every Orange Book-listed patent, declaring whether the patent is absent, expired, not challenged, or invalid/not infringed (Paragraph I, II, III, or IV, respectively). We cannot predict which, if any, patents in our current portfolio or patents we may obtain in the future will be eligible for listing in the Orange Book, how any generic or follow-on competitor would address such patents, whether we would sue on any such patents or the outcome of any such suit. For example, on February 17, 2026 a sponsor submitted an ANDA for mitapivat with a Paragraph IV certification listing patents that it intends to challenge, and we have received a notice of such certification. We intend to file suit for infringement in connection with such ANDA filing. We may receive additional notices in the future and may take similar actions with respect to those ANDAs.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Product liability lawsuits against us or any collaborators could cause us or our collaborators to incur substantial liabilities and could limit commercialization of any medicines that we or they may develop.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and any collaborators face a risk of product liability exposure related to our product candidates in human clinical trials and face an even greater risk as we or they commercially sell any medicines, including PYRUKYND® and AQVESME™. If we or any collaborators cannot successfully defend ourselves or themselves against claims that our product candidates or medicines caused injuries, we or they could incur substantial costs and liabilities. Regardless of merit or eventual outcome, liability claims may also result in, among other things, decreased demand for any product candidates or medicines that we may develop, reputational harm and lost revenue.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maintain product liability insurance coverage, it may not be adequate to cover all liabilities that we may incur.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internal information technology systems, or those of any third parties with which we contract, may fail or suffer security breaches, loss of data or other disruptions which could result in a material disruption of our product development programs, compromise sensitive information related to our business or prevent us from accessing critical information, trigger legal obligations, potentially exposing us to liability, competitive or reputational harm or otherwise adversely affecting our business and financial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our internal information technology systems and those of third parties with which we contract are vulnerable to damage from computer viruses, worms and other destructive or disruptive software, unauthorized access, natural disasters, terrorism, war and telecommunication and electrical failures. Such systems are also vulnerable to service interruptions or to security breaches from inadvertent or intentional actions by our employees, third-party vendors or business partners, or from cyber incidents by malicious third parties. Cybersecurity incidents are increasing in their frequency, sophistication and intensity, and have become increasingly difficult to detect. Cybersecurity incidents could include the deployment of harmful malware, ransomware, denial-of-service attacks, unauthorized access to or deletion of files, social engineering and other means to affect service reliability and threaten the confidentiality, integrity and availability of information. Cybersecurity incidents also could include phishing attempts or e-mail fraud to cause payments or information to be transmitted to an unintended recipient. Attackers may use artificial intelligence and machine learning to launch more automated, targeted and coordinated attacks against targets. We could be subject to risks caused by misappropriation, misuse, leakage, falsification or intentional or accidental release or loss of information maintained in the information systems and networks of our company, including personal information of our employees.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System failures, accidents, cybersecurity incidents or security breaches could cause interruptions in our operations, and could result in a material disruption of our clinical and commercialization activities and business operations, whether due to a loss of our trade secrets or other proprietary information or other similar disruptions, in addition to possibly requiring substantial expenditures of resources to remedy. For example, the loss of clinical trial data from completed or future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our product research, development and commercialization efforts could be delayed. In addition, we may not have adequate insurance coverage to provide compensation for any losses associated with such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 material breach of our security or that of our vendors occurs, the market perception of the effectiveness of our security measures could be harmed, and, as a result, we could lose business and our reputation and credibility could be damaged. We could be required to expend significant amounts of money and other resources to repair or replace information systems or networks. Although we develop and maintain processes, systems and controls designed to prevent these events from occurring, and we have a process to assess, identify and manage threats, the development and maintenance of these systems, controls and processes is costly and requires ongoing monitoring and updating as technologies change and efforts to overcome security measures become more sophisticated. Moreover, despite our efforts, the possibility of these events occurring cannot be eliminated entirely. We cannot guarantee that the measures we have taken to date, and actions we may take in the future, will be sufficient to prevent any cyber-attacks or security breaches.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and the EU. The legislative and regulatory landscape for privacy and data protection continues to evolve in jurisdictions worldwide, and we must devote significant resources and funds to understanding and complying with this changing landscape. Our efforts to comply with the evolving data protection rules may be unsuccessful. It is possible that these laws may be interpreted, enforced and applied in a manner that is inconsistent with our practices.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numerous U.S. federal and state laws and regulations related to the privacy and security of personal information. In particular, regulations promulgated pursuant to the federal Health Insurance Portability and Accountability Act of 1996, or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FTC has been particularly focused on the unpermitted processing of health and genetic data through its recent enforcement actions and is expanding the types of privacy violations that it interprets to be “unfair” under Section 5 of the FTC Act of 1914, as well as the types of activities it views to trigger the Health Breach Notification Rule. The FTC is also in the process of developing rules related to commercial surveillance and data security that may impact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number of states have passed comprehensive privacy laws and other states are strongly considering or in the process of enacting such laws. These laws create obligations related to the processing of personal information, as well as special obligations for the processing of “sensitive” data (which includes health data in some cases). In addition, Congress has also been debating passing a federal privacy law, and there are also states that are specifically regulating health information. These laws may impact our business activities, including our identification of research subjects, relationships with business partners and ultimately the marketing and distribution of our products.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also significant privacy and data security laws that apply in Europe and other countries. The collection, use, disclosure, transfer, or other processing of personal data, including personal health data, regarding individuals who are located in the European Economic Area, or EEA, and the processing of personal data that takes place in the EEA, is regulated by the GDPR. The GDPR imposes onerous accountability obligations requiring data controllers and processors to maintain a record of their data processing and policies. While many other countries outside of the EEA loosely follow GDPR as a model, other laws contain different or conflicting provisions.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Failure to comply with any of these laws and regulations could result in litigation, regulatory investigations or enforcement actions against us, orders to changes our practices, systems or policies, breaches of our contracts, fines, imprisonment of company officials and public censure, civil or criminal penalties, claims for damages by affected individuals, damage to our reputation and loss of goodwill, any of which could have a material adverse effect on our business, financial condition, results of operations or prospects. Even if we are not determined to have violated these laws, litigation or government investigations into these issues typically require the expenditure of significant resources and generate negative publicity.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Our Financial 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challenges as a less diversified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success of our rare disease business is subject to various risks and uncertainties, including the possibility that we may not be able to successfully commercialize PYRUKYND® and AQVESME™, the possibility that mitapivat is not approved for SCD, the possibility of adverse post-approval, clinical and other developments in respect of PYRUKYND®, AQVESME™, mitapivat or our other product candidates, and unanticipated changes in applicable laws and regulations that may adversely affect the rare disease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be more susceptible to changing market conditions, including fluctuations and risks particular to the markets for patients with rare diseases, than a more diversified company, which could adversely affect our business, financial condition and results of operations. Our results of operations, cash flows, working capital and financing requirements may be subject to increased volatility and our ability to fund capital expenditures and investments or satisfy other financial commitments may be diminished.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Raising additional capital may restrict our operations, require us to relinquish rights to our technologies or product candidates or cause dilution to our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Until such time, if ever, as we can generate substantial product revenue, including from potential future sales of PYRUKYND® and AQVESME™, we expect to finance our cash needs primarily through cash on hand, potential royalty payments with respect to annual U.S. net sales of vorasidenib in excess of $1.0 billion, or the Retained Earn-Out Rights, and, potentially, collaborations, strategic alliances, licensing arrangements and other nondilutive strategic transactions. In addition, we may pursue opportunistic debt offerings, and equity or equity-linked offerings. We do not have any committed external source of funds other than the potential Retained Earn-Out Rights described above and we cannot be certain we will ever receive any payments as a result of the Retained Earn-Out Rights.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require us to enter into agreements that include covenants limiting or restricting our ability to take specific actions, such as incurring additional debt, selling or licensing our assets, making capital expenditures or declaring dividends.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w:t>
      </w:r>
    </w:p>
    <w:p>
      <w:pPr>
        <w:pStyle w:val="TextBody"/>
        <w:bidi w:val="0"/>
        <w:spacing w:lineRule="auto" w:line="288" w:before="0" w:after="180"/>
        <w:jc w:val="both"/>
        <w:rPr/>
      </w:pPr>
      <w:r>
        <w:rPr>
          <w:rFonts w:ascii="Times New Roman;serif" w:hAnsi="Times New Roman;serif"/>
          <w:b/>
          <w:i/>
          <w:color w:val="000000"/>
          <w:sz w:val="20"/>
        </w:rPr>
        <w:t>If our existing capital is insufficient to fund our operating expenses and capital expenditures, we will need to raise capital, and if we</w:t>
      </w:r>
      <w:r>
        <w:rPr>
          <w:color w:val="000000"/>
        </w:rPr>
        <w:t xml:space="preserve"> </w:t>
      </w:r>
      <w:r>
        <w:rPr>
          <w:rFonts w:ascii="Times New Roman;serif" w:hAnsi="Times New Roman;serif"/>
          <w:b/>
          <w:i/>
          <w:color w:val="000000"/>
          <w:sz w:val="20"/>
        </w:rPr>
        <w:t>are unable to raise capital when needed, we would be forced to delay, reduce or eliminate our product development programs or commercialization efforts.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to incur significant expenses as we continue to advance our ongoing activities. Our estimate as to what extent we expect our existing cash, cash equivalents, and marketable securities to be available to fund our operating expenses and capital expenditures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If we are unable to raise additional funds when needed or on attractive terms, we may be required to delay, limit, reduce or terminate our product development or future commercialization efforts, or grant rights to develop and market product candidates that we would otherwise prefer to develop and market ourselves. Our future capital requirements will depend on many factors, including: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amount and timing of future revenue received from commercial sales of PYRUKYND®, AQVESME™ or any of our other product candidates for which we may receive marketing approval;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amount of payments, if any, we may receive on account of the Retained Earn-Out Rights;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costs and timing of our ongoing and future commercialization activities, including product manufacturing, sales, marketing and distribution, for PYRUKYND® and AQVESME™ in the approved jurisdictions and indications and for any product candidate for which we may receive approval;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scope, progress, results and costs of preclinical development, laboratory testing and clinical trials for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costs associated with in-licensing or acquiring assets for pipeline growth, including the amount and timing of future milestone and royalty payments payable to Alnylam and Oscotec pursuant to the respective license agreements;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ability to establish and maintain collaborations on favorable terms, if at all;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successfully execute on our strategic plans;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operational delays, disruptions and/or increased costs associated with public health pandemics, global economic and political developments.</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We have historically incurred operating losses. We expect to incur losses in the future and may never achieve or maintain profitability.</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have a history of incurring operating losses. Our net loss for the six months ended June 30, 2026 was $199.8 million and for the six months ended June 30, 2025 was $201.3 million. As of June 30, 2026, we had an accumulated deficit of $761.5 million. We are commercializing PYRUKYND® for the treatment of hemolytic anemia in adults with PK deficiency in the United States. Following the receipt of marketing approval in December 2025, we commercially launched AQVESME™ in the United States in late January 2026.</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our regulatory approvals in the EU, Great Britain, Saudi Arabia and the United Arab Emirates, we provide access to PYRUKYND® to eligible patients through the Avanzanite Agreement and the NewBridge Agreement, as applicable, and on either a free of charge or for charge basis for eligible patients in those jurisdictions and other jurisdictions through a global managed access program. We continue to evaluate other options for the commercialization of PYRUKYND® outside of the United States, including through exploring potential partnership opportunities.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to finance our operations primarily through cash on hand, potential royalty payments with respect to the Retained Earn-Out Rights, and, potentially, collaborations, strategic alliances, licensing arrangements and other nondilutive strategic transactions. In addition, we may pursue opportunistic debt offerings, and equity or equity-linked offerings. We expect to continue to incur significant expenses and net losses until such time as we are able to report profitable results. The net losses we incur may fluctuate significantly from quarter to quarter and year to year. We anticipate that we will incur significant expenses if and as we: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commercialize PYRUKYND® and AQVESME™ for approved indications in approved jurisdictions;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 to establish and maintain a sales, marketing and distribution infrastructure to commercialize PYRUKYND®, AQVESME™ and other product candidates for which we may obtain marketing approval;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initiate and continue clinical trials for our products and product candidates;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continue our research and preclinical development of our product candidates and seek to identify additional product candidates;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seek marketing approvals for our product candidates that successfully complete clinical trials;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require the manufacture of larger quantities of product candidates for clinical development and commercialization;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maintain, expand and protect our intellectual property portfolio;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add additional personnel to support our product research and development and planned future commercialization efforts and our operations;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acquire or in-license other product candidates, medicines and technologies.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may never achieve or maintain profitability. To become and remain profitable, we must develop and successfully commercialize medicines with significant market potential. This will require us to be successful in a range of challenging activities, including completing preclinical testing and clinical trials of our product candidates, obtaining marketing approval for these product candidates, manufacturing, marketing and selling those medicines for which we may obtain marketing approval and satisfying any post-marketing requirements.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our stockholders to lose all or part of their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Changes in tax laws or in their implementation or interpretation may adversely affect our business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Inflation Reduction Act, or IRA, was signed into law in August 2022, and the One Big Beautiful Bill Act, or OBBBA, was signed into law in July 2025. The OBBBA contains numerous tax provisions which may affect our business or financial condition.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pStyle w:val="TextBody"/>
        <w:bidi w:val="0"/>
        <w:spacing w:lineRule="auto" w:line="268" w:before="0" w:after="180"/>
        <w:jc w:val="both"/>
        <w:rPr/>
      </w:pPr>
      <w:r>
        <w:rPr>
          <w:rFonts w:ascii="Times New Roman;serif" w:hAnsi="Times New Roman;serif"/>
          <w:b/>
          <w:color w:val="000000"/>
          <w:sz w:val="20"/>
        </w:rPr>
        <w:t>Risks Related to Our Dependence on Third Parties</w:t>
      </w:r>
      <w:r>
        <w:rPr>
          <w:color w:val="000000"/>
        </w:rPr>
        <w:t xml:space="preserve"> </w:t>
      </w:r>
    </w:p>
    <w:p>
      <w:pPr>
        <w:pStyle w:val="TextBody"/>
        <w:bidi w:val="0"/>
        <w:spacing w:lineRule="auto" w:line="288" w:before="0" w:after="180"/>
        <w:jc w:val="both"/>
        <w:rPr/>
      </w:pPr>
      <w:r>
        <w:rPr>
          <w:rFonts w:ascii="Times New Roman;serif" w:hAnsi="Times New Roman;serif"/>
          <w:b/>
          <w:i/>
          <w:color w:val="000000"/>
          <w:sz w:val="20"/>
        </w:rPr>
        <w:t>We rely and expect to continue to rely on third parties to conduct our clinical trials and some aspects of our research and preclinical testing, and those third parties may not perform satisfactorily, including failing to meet deadlines for the completion of such trials, research or testing.</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independently conduct clinical trials of any of our product candidates. We rely and expect to continue to rely on third parties, such as CROs, clinical data management organizations, medical institutions and clinical investigators, to conduct our clinical trials. In addition, we currently rely and expect to continue to rely on third parties to conduct some aspects of our research and preclinical testing. Any of these third parties may terminate their engagements with us, some in the event of an uncured material breach and some at any time. If any of our relationships with these third parties terminate, we may not be able to enter into similar arrangements with alternative third-parties or to do so on commercially reasonable terms. Switching or adding additional third parties involves additional cost and requires management time and focus. As a result, delays may occur in our product development activities. Although we seek to carefully manage our relationships with our CROs, we could encounter such challenges or delays that could have a material adverse impact on our business, financial condition and prospects.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reliance on third parties for research and development activities reduces our control over these activities but does not relieve us of our responsibilities. For example, we are responsible for ensuring that each of our studies is conducted in accordance with the applicable protocol and legal, regulatory and scientific standards, and our reliance on third parties does not relieve us of our responsibility to comply with any such standards. We and these third parties are required to comply with current good clinical practices, or cGCP, which are regulations and guidelines enforced by the FDA, the competent authorities of the member states of the EEA and comparable foreign regulatory authorities for all of our product candidates in clinical development. We cannot be certain that a given regulatory authority will determine that any of our clinical trials comply with cGCP regulations. Regulatory authorities enforce these cGCPs through periodic inspections of trial sponsors, principal investigators and trial sites. If we or any of these third parties fail to comply with applicable cGCPs, the clinical data generated in our clinical trials may be deemed unreliable and the FDA, the EMA, or comparable foreign regulatory authorities may require us to perform additional clinical trials before approving our marketing applications. We are exposed to risk of fraud or other misconduct by such third parties.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third parties on whom we rely may also have relationships with other entities, some of which may be our competitors. In addition, these third parties are not our employees, and except for remedies available to us under our agreements with such third parties, we cannot control whether or not they devote sufficient time and resources to our ongoing clinical, nonclinical, and preclinical programs.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these third parties do not successfully carry out their contractual duties or obligations or meet expected deadlines, or if they need to be replaced or if the quality or accuracy of the clinical data they obtain is compromised, our clinical trials may be extended, delayed or terminated and we may not be able to obtain, or may be delayed in obtaining, marketing approvals for our product candidates and will not be able to, or may be delayed in our efforts to successfully commercialize our medicines.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either we or any third parties on which we rely are adversely impacted by geopolitical events, delays may occur in our product development activities, which delays could have a material adverse impact on our business, financial condition and prospects.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performance failure on the part of our distributors could delay clinical development or marketing approval of our product candidates or commercialization of our medicines, producing additional losses and depriving us of potential product revenue.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We contract with third parties for the manufacture of our product candidates for preclinical and clinical testing and for commercialization.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have any manufacturing or supply chain-related facilities. We currently rely, and expect to continue to rely, on third-party manufacturers for the materials and manufacture of our product candidates for preclinical and clinical testing and for commercial supply of PYRUKYND®, AQVESME™ and any product candidate for which we obtain marketing approval.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entered into long-term supply agreements for commercial supply of PYRUKYND® and AQVESME™ with third-party manufacturers, we may be unable to establish similar long-term supply agreements with third-party manufacturers with respect to our other product candidates or to do so on acceptable terms. Even if we are able to establish such agreements, reliance on third-party manufacturers entails additional risks, including: reliance on the third party for regulatory compliance, quality assurance, environmental and safety and pharmacovigilance reporting; the possible breach of the manufacturing agreement by the third party; and the possible termination or nonrenewal of the agreement by the third party at a time that is costly or inconvenient for 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Third-party manufacturers may not be able to comply with cGMPs, regulations or similar regulatory requirements on a global basis. Our failure, or the failure of our third-party manufacturers, to comply with currently applicable regulations, or regulations or specifications to which we become subject in the future,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currently rely on foreign third-party manufacturers and/or CROs, including those in China, and will likely continue to rely on foreign third-party manufacturers and/or CROs in the future. Foreign third-party manufacturers and/or CROs may be subject to U.S. legislation, including sanctions, trade restrictions and other foreign regulatory requirements which could increase the cost or reduce the supply of material or services available to us, delay the procurement or supply of such material or services, or have an adverse effect on our ability to secure significant commitments from governments to purchase our potential therapies.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2025, as part of the National Defense Authorization Act for FY 2026, President Trump signed into law the BIOSECURE Act, which prohibits, subject to limited exceptions, the direct or indirect use of U.S. federal government contract, grant, and loan funds for purchasing biotechnology equipment and services from certain Chinese biotechnology companies of concern, or BCCs. Under the BIOSECURE Act, U.S. government agencies cannot (i) buy or obtain biotechnology equipment or services provided by a BCC, (ii) enter into, extend, or renew a contract with any entity using biotechnology equipment or services provided by a BCC to perform a government contract, or (iii) expend loan or grant funds for biotechnology equipment or services provided by a BCC. Instead of specifying particular Chinese entities as BCCs, the BIOSECURE Act treats any biotechnology companies that have been identified on the so-called 1260H List by the U.S. Department of Defense as Chinese Military Companies Operating in the United States as BCCs. The legislation allows for other biotechnology companies to be added to the federal funding prohibitions at a later time. On June 8, 2026, the Department of Defense published an updated list, which included WuXi AppTec.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either we or any third parties on which we rely are adversely impacted by restrictions resulting from the emergence of public health epidemics, by rising global energy costs or energy shortages or rationing and/or geopolitical events, our supply chain may be disrupted, limiting our ability to manufacture our product candidates for our clinical trials and research and development operations and our product for commercialization.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performance failure on the part of our existing or future manufacturers could delay preclinical development, clinical development, marketing approval or our commercialization efforts. Due to the volatility of the supply networks globally, we have obtained regulatory approval for redundant supply of raw materials for PYRUKYND® and AQVESME™, and have an ongoing program to monitor supply, including establishing safety stocks. While we maintain a broad safety stock of drug substance and drug product, including redundant supply of drug substance in the United States, we do not currently have arrangements in place for redundant supply of drug substance outside the United States and drug product globally. If any one of our current contract manufacturers cannot perform as agreed, we may be required to replace that manufacturer. Although we believe that there are several potential alternative manufacturers who could manufacture our product or our product candidates, we may incur added costs and delays in identifying and qualifying any such replacement.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and anticipated future dependence upon others for the manufacture of our product candidates or medicines may adversely affect our future profit margins and our ability to commercialize any medicines that receive marketing approval on a timely and competitive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pPr>
      <w:r>
        <w:rPr>
          <w:rFonts w:ascii="Times New Roman;serif" w:hAnsi="Times New Roman;serif"/>
          <w:b/>
          <w:i/>
          <w:color w:val="000000"/>
          <w:sz w:val="20"/>
        </w:rPr>
        <w:t>We may depend on collaborations with third parties for the development and commercialization of our product candidates. If those collaborations are not successful, we may not be able to capitalize on the market potential of these product candidates.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seek collaborations for the development and commercialization of our product candidates with large and mid-size pharmaceutical companies and biotechnology companies or with other third parties. We face significant competition in seeking appropriate collaborators. Collaborations are complex and time-consuming to negotiate and document. Whether we reach a definitive agreement for a collaboration will depend, among other things, upon our assessment of the collaborator’s resources and expertise, the terms and conditions of the proposed collaboration and the proposed collaborator’s evaluation of a number of factors. We may not be able to negotiate collaborations on a timely basis, on acceptable terms, or at all. Collaborators may have rights that restrict us from entering into future agreements on certain terms with potential collaborators.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we enter into any such arrangements with collaborators, we will likely have limited control over the amount and timing of resources that our collaborators dedicate to the development or commercialization of our product candidates. 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 Collaborators may delay clinical trials, provide insufficient funding for a clinical trial program, stop a clinical trial or abandon a product candidate, repeat or conduct new clinical trials or require a new formulation of a product candidate for clinical testing, which may result in a need for additional capital to pursue further development or commercialization of the applicable product candidate. Collaborators may not properly maintain or defend our intellectual property rights or may use our proprietary information in such a way as to invite litigation that could jeopardize or invalidate our proprietary information or expose us to potential litigation. Disputes may arise between the collaborators and us that result in the delay or termination of the research, development or commercialization of our medicines or product candidates or that result in costly litigation or arbitration that diverts management attention and resources. In addition, our ability to enter into arrangements with collaborators in specific regions, such as the Middle East, may be affected by localized geopolitical unrest or military conflict, such as the current armed conflict in the region.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a third-party service provider to assist in the administration of the REMS for AQVESME™. If we or a third-party service provider acting on our behalf fail to effectively implement, monitor, report and administer the REMS for our products, we may be required to, among other things, modify such REMS, and we may be subject to FDA enforcement actions, such as seizure of the product, injunction against distribution, or to civil monetary penalties. If the FDA considers the conduct especially egregious, the FDA can refer the matter to the Department of Justice to pursue civil remedies, criminal prosecution or both. Additionally, if the third-party service provider fails to effectively administer the REMS, we could experience a material disruption to our commercial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we do not have direct experience commercializing products outside of the United States and such efforts may depend on our ability to find a suitable distribution partner. For example, we have entered into the NewBridge Agreement and the Avanzanite Agreement for the commercialization of PYRUKYND® in certain jurisdictions outside of the United States. Pursuant to the NewBridge Agreement and the Avanzanite Agreement, we rely on our partners, in the GCC and in the EU and U.K., respectively, to assist with regulatory filings, prepare applications for pricing and reimbursement approval, negotiate with payors, conduct medical affairs activities and import, distribute, promote and commercialize our products in accordance with applicable law. If our distribution partners do not fulfill their obligations under these arrangements, or if they experience a change in strategic focus or available funding, our ability to generate revenue outside of the United States could be adversely affected.</w:t>
      </w:r>
    </w:p>
    <w:p>
      <w:pPr>
        <w:pStyle w:val="TextBody"/>
        <w:bidi w:val="0"/>
        <w:spacing w:lineRule="auto" w:line="268" w:before="0" w:after="180"/>
        <w:jc w:val="both"/>
        <w:rPr/>
      </w:pPr>
      <w:r>
        <w:rPr>
          <w:rFonts w:ascii="Times New Roman;serif" w:hAnsi="Times New Roman;serif"/>
          <w:b/>
          <w:color w:val="000000"/>
          <w:sz w:val="20"/>
        </w:rPr>
        <w:t>Risks Related to Our Intellectual Property</w:t>
      </w:r>
      <w:r>
        <w:rPr>
          <w:color w:val="000000"/>
        </w:rPr>
        <w:t xml:space="preserve"> </w:t>
      </w:r>
    </w:p>
    <w:p>
      <w:pPr>
        <w:pStyle w:val="TextBody"/>
        <w:bidi w:val="0"/>
        <w:spacing w:lineRule="auto" w:line="288" w:before="0" w:after="180"/>
        <w:jc w:val="both"/>
        <w:rPr/>
      </w:pPr>
      <w:r>
        <w:rPr>
          <w:rFonts w:ascii="Times New Roman;serif" w:hAnsi="Times New Roman;serif"/>
          <w:b/>
          <w:i/>
          <w:color w:val="000000"/>
          <w:sz w:val="20"/>
        </w:rPr>
        <w:t>If we are unable to obtain and maintain patent or trade secret protection for our medicines and technology, or if the scope of the patent protection obtained is not sufficiently broad, our competitors could develop and commercialize medicines and technology similar or identical to ours, and our ability to successfully commercialize our medicines and technology may be adversely affected.</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large part on our ability to obtain and maintain patent protection in the United States and other countries with respect to our proprietary medicines and technology. We seek to protect our proprietary position by filing patent applications in the United States and abroad related to our novel technologies and medicines that are important to our business. We do not yet have issued patents for all our most advanced product candidates in all markets in which we intend to commercialize but we continue to actively pursue patent protection for our assets around the world.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patent prosecution process is costly and time-consuming, and we may not be able to file and prosecute all necessary or desirable patent applications at a reasonable cost or in a timely manner. It is also possible that we will fail to identify and/or file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patent applications on every aspect of our research and development output that is or may be eligible for patent protection. Although we enter into non-disclosure and confidentiality agreements with parties who may have access to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There is also the possibility that loss or theft of data or records may jeopardize the ability to seek patent protection or impede the progress or drafting of patent applications.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licensed patent rights, and in the future may license additional patent rights, from third parties. Such licenses may be accompanied by milestone and/or royalty payment obligations. These licensed patent rights may be valuable to our business, and we may not have the right to control the preparation, filing and prosecution of patent applications, or to maintain the patents, covering technology or medicines underlying such licenses. We cannot be certain that these patents and applications will be prosecuted and enforced in a manner consistent with the best interests of our business. If any such licensors fail to maintain such patents, or lose rights to those patents, the rights we have licensed may be reduced or eliminated and our right to develop and commercialize any of our products that are the subject of such licensed rights could be adversely affected. In addition to the foregoing, the risks associated with patent rights that we license from third parties also apply to patent rights we own.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that protect our technology or medicines or that effectively prevent others from commercializing competitive technologies and medicines. 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licensed patents or pending patent applications, or that we were the first to file for patent protection of such inventions.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United States maintains a first inventor to file system in which, assuming the other requirements for patentability are met, the first inventor to file a patent application will be entitled to the patent. We may be subject to a third-party pre-issuance submission of prior art to the U.S. Patent and Trademark Office, or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medicines without infringing third-party patent rights.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Even if our patent applications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issuance of a patent is not conclusive as to its inventorship, scope, validity or enforceability, and our patents may be challenged in the courts or patent offices in the United States and abroad. Such challenges may result in loss of the patent or in one or more patent claims being narrowed or invalidated, which could limit our ability to stop others from using or commercializing similar or identical technology and products, or limit the duration of the patent protection of our technology and medicines. Given the significant amount of time required for the discovery, development, preclinical and clinical testing and regulatory review and approval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In such circumstances we would be relying primarily on regulatory or marketing exclusivity to exclude others from commercializing a generic version of our products. </w:t>
      </w:r>
    </w:p>
    <w:p>
      <w:pPr>
        <w:pStyle w:val="TextBody"/>
        <w:bidi w:val="0"/>
        <w:spacing w:lineRule="auto" w:line="288" w:before="0" w:after="180"/>
        <w:jc w:val="both"/>
        <w:rPr/>
      </w:pPr>
      <w:r>
        <w:rPr>
          <w:rFonts w:ascii="Times New Roman;serif" w:hAnsi="Times New Roman;serif"/>
          <w:b/>
          <w:i/>
          <w:color w:val="000000"/>
          <w:sz w:val="20"/>
        </w:rPr>
        <w:t>We may become involved in lawsuits to protect or enforce our patents and other intellectual property rights, which could be expensive, time consuming and unsuccessful.</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our patents and other intellectual property rights. To counter infringement or unauthorized use, we may be required to file infringement claims, which can be expensive, time consuming and have uncertain outcomes. For example, we may file patent infringement suits against any company that files an ANDA containing a Paragraph IV patent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certification for our products. An ANDA containing a Paragraph IV certification for mitapivat was submitted on February 17, 2026. We received notice of such certification and filed a timely infringement suit. We may receive additional notices of paragraph IV certifications in the future and we may take similar actions with respect to those ANDAs.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 court or a patent office such as the USPTO or European Patent Office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lineRule="auto" w:line="288" w:before="0" w:after="180"/>
        <w:jc w:val="both"/>
        <w:rPr/>
      </w:pPr>
      <w:r>
        <w:rPr>
          <w:rFonts w:ascii="Times New Roman;serif" w:hAnsi="Times New Roman;serif"/>
          <w:b/>
          <w:i/>
          <w:color w:val="000000"/>
          <w:sz w:val="20"/>
        </w:rPr>
        <w:t>Third parties may initiate legal proceedings alleging that we or our collaborators are infringing their intellectual property rights or that our patents are invalid, the outcome of which would be uncertain and could have a material adverse effect on the success of our business.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characterized by extensive litigation regarding patents and other intellectual property rights. Our commercial success depends upon our ability and the ability of our collaborators to develop, manufacture, market and sell our product and product candidates and use our proprietary technologies without infringing the proprietary rights and intellectual property of third parties. We have in the past, are and may in the future become party to, or threatened with, adversarial proceedings or litigation regarding intellectual property rights with respect to our medicines and technology, including opposition, derivation, revocation, reexamination, post-grant and inter partes review or interference proceedings before the USPTO or other patent offices around the world. For example, two of the European patents in our mitapivat portfolio, neither being the primary compound patent, have been challenged in opposition proceedings. The revocation of either of these European patents could potentially allow additional competitor drugs, if approved, to enter the European marketplace earlier than anticipated. After separate oral proceedings, both European patents were upheld by the European Opposition Division in written decisions in November 2025 and January 2026, respectively. These decisions have been appealed by the opponents and we have filed or will be filing timely responses. In addition, a request for Inter Partes Review in connection with US 11,878,049 was filed with the USPTO on May 18, 2026, and we intend to take all necessary steps to defend our patent.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infringement claims against us based on existing patents or patents that may be granted in the future. If we or one of our collaborators are found to infringe a third party’s intellectual property rights, we or they could be required to obtain a license from such third party to continue developing and marketing our medicines and technology. However, we or our collaborators may not be able to obtain any required license on commercially reasonable terms or at all. Even if we or our collaborators were able to obtain a license, it could be non-exclusive, thereby giving our competitors and other third parties access to the same technologies licensed to us. We or our collaborators could be forced, including by court order, to cease developing and commercializing the infringing technology or medicine. In addition, we or our collaborators could be found liable for monetary damages. A finding of infringement could prevent us or our collaborators from commercializing our product and product candidates or force us to cease some of our business operations, which could materially harm our business. Claims that we or our collaborators have misappropriated the confidential information or trade secrets of third parties could have a similar negative impact on our business. </w:t>
      </w:r>
    </w:p>
    <w:p>
      <w:pPr>
        <w:pStyle w:val="TextBody"/>
        <w:bidi w:val="0"/>
        <w:spacing w:lineRule="auto" w:line="288" w:before="0" w:after="180"/>
        <w:jc w:val="both"/>
        <w:rPr/>
      </w:pPr>
      <w:r>
        <w:rPr>
          <w:rFonts w:ascii="Times New Roman;serif" w:hAnsi="Times New Roman;serif"/>
          <w:b/>
          <w:i/>
          <w:color w:val="000000"/>
          <w:sz w:val="20"/>
        </w:rPr>
        <w:t>We may be subject to claims that our employees have wrongfully used or disclosed alleged trade secrets of their former employers.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organization. </w:t>
      </w:r>
    </w:p>
    <w:p>
      <w:pPr>
        <w:pStyle w:val="TextBody"/>
        <w:bidi w:val="0"/>
        <w:spacing w:lineRule="auto" w:line="288" w:before="0" w:after="180"/>
        <w:jc w:val="both"/>
        <w:rPr/>
      </w:pPr>
      <w:r>
        <w:rPr>
          <w:rFonts w:ascii="Times New Roman;serif" w:hAnsi="Times New Roman;serif"/>
          <w:b/>
          <w:i/>
          <w:color w:val="000000"/>
          <w:sz w:val="20"/>
        </w:rPr>
        <w:t>Intellectual property litigation could cause us to spend substantial resources and distract our personnel from their normal responsibilities.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lineRule="auto" w:line="288" w:before="0" w:after="180"/>
        <w:jc w:val="both"/>
        <w:rPr/>
      </w:pPr>
      <w:r>
        <w:rPr>
          <w:rFonts w:ascii="Times New Roman;serif" w:hAnsi="Times New Roman;serif"/>
          <w:b/>
          <w:i/>
          <w:color w:val="000000"/>
          <w:sz w:val="20"/>
        </w:rPr>
        <w:t>If we are unable to protect the confidentiality of our confidential information related to our proprietary platforms and technology, our business and competitive position could be harmed.</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patents for some of our technology and medicines, we also rely on maintaining the confidentiality of unpatented know-how, technology and other proprietary information, to maintain our competitive position. For example, we consider the confidential information and know-how related to our cellular metabolism technology platform to be our primary intellectual property assets in this space. Unpatented proprietary technical information and know-how can be difficult to protect.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protect this proprietary technical information and know-how,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through use of generative artificial intelligence technologies), and we may not be able to obtain adequate remedies for such breaches. Enforcing a claim that a party illegally disclosed or misappropriated proprietary information is difficult, expensive and time-consuming, and the outcome is unpredictable. If any of our proprietary technical information and know-how were to be lawfully obtained or independently developed by a competitor or other third party, we would have no right to prevent them from using that technology or information to compete with us. Moreover, we anticipate that with respect to this platform, at least some of this technical information and know-how will, over time, be disseminated within the industry through independent development, the publication of journal articles describing the methodology, and the movement of personnel skilled in the art from academic to industry scientific positions. </w:t>
      </w:r>
    </w:p>
    <w:p>
      <w:pPr>
        <w:pStyle w:val="TextBody"/>
        <w:bidi w:val="0"/>
        <w:spacing w:lineRule="auto" w:line="288" w:before="0" w:after="180"/>
        <w:jc w:val="both"/>
        <w:rPr/>
      </w:pPr>
      <w:r>
        <w:rPr>
          <w:rFonts w:ascii="Times New Roman;serif" w:hAnsi="Times New Roman;serif"/>
          <w:b/>
          <w:color w:val="000000"/>
          <w:sz w:val="20"/>
        </w:rPr>
        <w:t>Risks Related to Regulatory Approval of Our Product Candidates and Other Legal Compliance Matters</w:t>
      </w:r>
      <w:r>
        <w:rPr>
          <w:color w:val="000000"/>
        </w:rPr>
        <w:t xml:space="preserve"> </w:t>
      </w:r>
    </w:p>
    <w:p>
      <w:pPr>
        <w:pStyle w:val="TextBody"/>
        <w:bidi w:val="0"/>
        <w:spacing w:lineRule="auto" w:line="288" w:before="0" w:after="180"/>
        <w:jc w:val="both"/>
        <w:rPr/>
      </w:pPr>
      <w:r>
        <w:rPr>
          <w:rFonts w:ascii="Times New Roman;serif" w:hAnsi="Times New Roman;serif"/>
          <w:b/>
          <w:i/>
          <w:color w:val="000000"/>
          <w:sz w:val="20"/>
        </w:rPr>
        <w:t>The marketing approval process is expensive, time-consuming and uncertain, and may prevent us from obtaining approvals for the commercialization of some or all of our product candidates. If we or our collaborators are not able to obtain, or if there are delays in obtaining, required regulatory approvals, we or they will not be able to commercialize, or will be delayed in commercializing, our product candidates, and our ability to generate revenue will be materially impaired.</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 candidates and the activities associated with their development and commercialization, including their design, testing, manufacture, safety, efficacy, record keeping, labeling, storage, approval, advertising, promotion, sale and distribution, export and import, are subject to comprehensive regulation by the FDA and other regulatory agencies in the United States and by the EMA and comparable regulatory authorities in other countries.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Securing marketing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varying interpretations of the data obtained from preclinical and clinical testing could delay, limit or prevent marketing approval of a product candidate. Any marketing approval we or our collaborators ultimately obtain may be limited or subject to restrictions or post-approval commitments that render the approved medicine not commercially viable.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FDA, EMA and other foreign regulatory authorities have substantial discretion in the approval process. Accordingly, it is possible that the FDA or EMA may refuse to accept for substantive review any NDA, sNDA or MAA that we submit for our product candidates, or may conclude after review of our data that our marketing application is insufficient to obtain marketing approval of our product candidates. The applicable regulator may require that we conduct additional clinical trials, preclinical studies or manufacturing validation studies and submit that data before reconsidering our applications. Depending on the extent of these or any other FDA- or EMA-required trials or studies, approval of any marketing applications that we submit may be delayed by several years, or may require us to expend more resources than we planned. It is also possible that additional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 studies, if performed and completed, may not be considered sufficient by the FDA or EMA to approve any marketing applications. For example, to mitigate the risk of hepatocellular injury, AQVESME™ is available only through the REMS program approved by the FDA. The FDA might require the development and submission of additional REMS for our products or modification of existing REMS.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successful in obtaining FDA or EMA approval of our product candidates on a timely basis, or ever. We have limited experience in filing and supporting the applications necessary to gain marketing approvals and expect to rely on third-party CROs to assist us in this process.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principal investigators for our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recent and potential future courts decisions and administrative law cases may result in additional legal challenges to regulations and guidance issued by federal regulatory agencies, including the FDA and Centers for Medicare &amp; Medicaid Services, or CMS, that we have relied on and intend to rely on in the future. Any such challenges, if successful, could have a material impact on our business. In addition to potential changes to regulations and agency guidance as a result of legal challenges, these decisions may result in increased regulatory uncertainty and delays in and other impacts to the agency rulemaking process, any of which could adversely impact our business and operations.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ability to develop and market new drug products may be impacted based on current or future litigation in the federal court system challenging the FDA’s approval of other companies' drugs. Depending on the outcome of this type of litigation, our ability to develop new drug product candidates and to maintain approval of existing drug products could be at risk and our efforts to develop and market new drug products could be delayed, undermined or subject to protracted litigation.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we or our collaborators experience delays in obtaining approval or if we or they fail to obtain approval of our product candidates, the commercial prospects for our product candidates may be harmed and our ability to generate revenue will be materially impaired. </w:t>
      </w:r>
    </w:p>
    <w:p>
      <w:pPr>
        <w:pStyle w:val="TextBody"/>
        <w:bidi w:val="0"/>
        <w:spacing w:lineRule="auto" w:line="288" w:before="0" w:after="180"/>
        <w:jc w:val="both"/>
        <w:rPr/>
      </w:pPr>
      <w:r>
        <w:rPr>
          <w:rFonts w:ascii="Times New Roman;serif" w:hAnsi="Times New Roman;serif"/>
          <w:b/>
          <w:i/>
          <w:color w:val="000000"/>
          <w:sz w:val="20"/>
        </w:rPr>
        <w:t>Failure to obtain marketing approval in foreign jurisdictions would prevent our medicines from being marketed in such jurisdictions and any of our medicines that are approved for marketing in such jurisdictions will be subject to risk associated with foreign operations.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market and sell our medicines in the EU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foreign countries, a product must be approved for reimbursement before the product can be approved for sale in that country. We or our collaborators may not obtain approvals from regulatory authorities outside the United States on a timely basis, if at all. Moreover, approval by the FDA does not ensure approval by regulatory authorities in other countries or jurisdictions, and approval by one regulatory authority outside the United States does not ensure approval by regulatory authorities in other countries or jurisdictions or by the FDA. Although we have received marketing authorization for PYRUKYND® for the treatment of adults with PK deficiency in the EU and Great Britain and for PYRUKYND® for the treatment of adult patients with non-transfusion dependent and transfusion-dependent alpha- or beta-thalassemia in the EU, Saudi Arabia and the United Arab Emirates, we may not be able to file for additional marketing approvals and may not receive necessary approvals to commercialize our medicines in any other foreign market.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foreign regulatory authorities may change their approval policies and new regulations may be enacted. For instance, in December 2025, the European Parliament and European Council reached a provisional political agreement on the revision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EU pharmaceutical legislation, which is expected to be adopted by late-2026. If the legislation is finalized in line with the provisional political agreement, it will have a significant impact on the EU pharmaceutical industry, which could impact our business.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we will be subject to additional risks in commercializing any of our product candidates that receive marketing approval outside the United States, including tariffs and trade barriers;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workforce uncertainty in countries where labor unrest is more common than in the United States. In addition, we do not have direct experience commercializing products outside of the United States and such efforts may depend on our ability to find a suitable distribution partner. For example, we have entered into the NewBridge Agreement and the Avanzanite Agreement for the commercialization of PYRUKYND® in certain jurisdictions outside of the United States. </w:t>
      </w:r>
    </w:p>
    <w:p>
      <w:pPr>
        <w:pStyle w:val="TextBody"/>
        <w:bidi w:val="0"/>
        <w:spacing w:lineRule="auto" w:line="288" w:before="0" w:after="180"/>
        <w:jc w:val="both"/>
        <w:rPr/>
      </w:pPr>
      <w:r>
        <w:rPr>
          <w:rFonts w:ascii="Times New Roman;serif" w:hAnsi="Times New Roman;serif"/>
          <w:b/>
          <w:i/>
          <w:color w:val="000000"/>
          <w:sz w:val="20"/>
        </w:rPr>
        <w:t>Fast track designation, priority review designation, PRIME designation or other expedited review designations or vouchers may not actually lead to a faster development or regulatory review or approval process, nor does it ensure approval of the product candidate.</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may seek fast track designation, priority review designation and/or other expedited review designations or vouchers for our product candidates. The FDA has broad discretion on whether to grant fast track designation, priority review designation and/or other expedited review designations or vouchers for a product candidate, so even if we believe a particular product candidate is eligible for such designation or status, the FDA may decide not to grant it. Even if our product candidates receive fast track designation, priority review designation, and/or other expedited designations or vouchers, we may not experience a faster development process, review or approval, if at all, compared to conventional FDA procedures. The FDA may withdraw fast track designation if it believes that the designation is no longer supported by data from our clinical development program.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seek PRIME designation in the EU for our product candidates. The benefits of a PRIME designation include, among other things, the potential to qualify product for accelerated review. Even if our product candidates receive PRIME designation, we may not experience a faster development process, review or approval compared to conventional EMA procedures and it does not ensure or increase the likelihood of the EMA’s grant of a marketing authorization. </w:t>
      </w:r>
    </w:p>
    <w:p>
      <w:pPr>
        <w:pStyle w:val="TextBody"/>
        <w:bidi w:val="0"/>
        <w:spacing w:lineRule="auto" w:line="288" w:before="0" w:after="180"/>
        <w:jc w:val="both"/>
        <w:rPr/>
      </w:pPr>
      <w:r>
        <w:rPr>
          <w:rFonts w:ascii="Times New Roman;serif" w:hAnsi="Times New Roman;serif"/>
          <w:b/>
          <w:i/>
          <w:color w:val="000000"/>
          <w:sz w:val="20"/>
        </w:rPr>
        <w:t>We, or any collaborators, may not be able to obtain or maintain orphan drug designation or orphan drug exclusivity for our drug candidates and, even if we do, that exclusivity may not prevent the FDA or the EMA from approving competing drugs.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Regulatory authorities in some jurisdictions, including the United States and the EU, may designate drugs and biologics for relatively small patient populations as orphan drugs. Generally, if a product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product for that time period, except in certain limited circumstances. Orphan drug exclusivity may be lost if the FDA or EMA determines that the request for designation was materially defective or if the manufacturer is unable to assure sufficient quantity of the product to meet the needs of patients with the rare disease or condition. Moreover, even after an orphan drug is approved, the FDA can subsequently approve a different product for the same condition if the FDA concludes that the later product is clinically superior in that it is shown to be safer, more effective or makes a major contribution to patient care.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do not know if, when, or how the FDA or Congress may reevaluate or change the orphan drug regulations and policies in the future, and it is uncertain how any changes might affect our business or if we will be adversely impacted. </w:t>
      </w:r>
    </w:p>
    <w:p>
      <w:pPr>
        <w:pStyle w:val="TextBody"/>
        <w:bidi w:val="0"/>
        <w:spacing w:lineRule="auto" w:line="288" w:before="0" w:after="180"/>
        <w:jc w:val="both"/>
        <w:rPr/>
      </w:pPr>
      <w:r>
        <w:rPr>
          <w:rFonts w:ascii="Times New Roman;serif" w:hAnsi="Times New Roman;serif"/>
          <w:b/>
          <w:i/>
          <w:color w:val="000000"/>
          <w:sz w:val="20"/>
        </w:rPr>
        <w:t>Any product or product candidate for which we or our collaborators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Any product or product candidate for which we or our collaborators obtain marketing approval, along with the manufacturing processes, post-approval clinical data, labeling, advertising and promotional activities for such medicine,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 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 including the requirement to implement a REMS, such as the required REMS for AQVESME™.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FDA and other agencies, including the Department of Justice, or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market our medicines for uses other than their respective approved indications, we may be subject to enforcement actions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 which violations may result in the imposition of significant administrative, civil and criminal penalties. We will need to carefully navigate the FDA’s regulations and this guidance to ensure compliance with the FDA’s provisions governing promotion of our products. </w:t>
      </w:r>
    </w:p>
    <w:p>
      <w:pPr>
        <w:pStyle w:val="TextBody"/>
        <w:bidi w:val="0"/>
        <w:spacing w:lineRule="auto" w:line="288" w:before="0" w:after="180"/>
        <w:jc w:val="both"/>
        <w:rPr/>
      </w:pPr>
      <w:r>
        <w:rPr>
          <w:rFonts w:ascii="Times New Roman;serif" w:hAnsi="Times New Roman;serif"/>
          <w:b/>
          <w:i/>
          <w:color w:val="000000"/>
          <w:sz w:val="20"/>
        </w:rPr>
        <w:t>Disruptions at the FDA and other government agencies from funding cuts, personnel losses, regulatory reform, government shutdowns and other developments could hinder our ability to obtain guidance from the FDA regarding our clinical development program and develop and secure approval of our product candidates in a timely manner, which would negatively impact our business.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oversight and review activities by the FDA and comparable foreign regulatory authorities are disrupted due to funding cuts, personnel losses, reductions in force, regulatory reform or government shutdown, then our ability to develop and/or secure timely approval of our product candidates could be impacted in a negative manner. For example, the recent loss of FDA leadership and personnel, including due to significant reduction in force, could lead to disruptions and delays in FDA guidance, review and approval of our product candidates.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Further, while the FDA’s review of marketing applications and other activities for new drugs and biologics is largely funded through the user fee program established under PDUFA, it remains unclear how the administration’s RIF and budget cuts will impact this program and the ability of the FDA to provide guidance and review our product candidates in a timely manner.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is also substantial uncertainty as to how regulatory reform measures being implemented by the Trump administration across the government will impact the FDA and other federal agencies with jurisdiction over our activities. For example, President Trump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if any of the foregoing developments and others impact the ability of the FDA to provide us with guidance or delay the FDA’s review and processing of our regulatory submissions, our business would be negatively impacted. </w:t>
      </w:r>
    </w:p>
    <w:p>
      <w:pPr>
        <w:pStyle w:val="TextBody"/>
        <w:bidi w:val="0"/>
        <w:spacing w:lineRule="auto" w:line="288" w:before="0" w:after="180"/>
        <w:jc w:val="both"/>
        <w:rPr/>
      </w:pPr>
      <w:r>
        <w:rPr>
          <w:rFonts w:ascii="Times New Roman;serif" w:hAnsi="Times New Roman;serif"/>
          <w:b/>
          <w:i/>
          <w:color w:val="000000"/>
          <w:sz w:val="20"/>
        </w:rPr>
        <w:t>Our relationships with healthcare providers, physicians and third-party payors are subject to applicable anti-kickback, fraud and abuse and other healthcare laws and regulations, which, in the event of a violation, could expose us to criminal sanctions, civil penalties, contractual damages, reputational harm and diminished future profits and future earnings.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Healthcare providers, physicians and third-party payors will play a primary role in the recommendation and prescription of PYRUKYND®, AQVESME™ and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PYRUKYND®, AQVESME™ and any other medicines for which we obtain marketing approval. Such laws and regulations include the federal Anti-Kickback Statue; the federal False Claims Act; HIPAA, as amended by the Health Information Technology for Economic and Clinical Health Act; the federal Physician Payments Sunshine Act; and analogous state and foreign laws and regulations.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restructuring of our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member states of the EU, or the EU Member States, such as the U.K. Bribery Act 2010. Infringement of these laws could result in substantial fines and imprisonment.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 </w:t>
      </w:r>
    </w:p>
    <w:p>
      <w:pPr>
        <w:pStyle w:val="TextBody"/>
        <w:bidi w:val="0"/>
        <w:spacing w:lineRule="auto" w:line="288" w:before="0" w:after="180"/>
        <w:jc w:val="both"/>
        <w:rPr/>
      </w:pPr>
      <w:r>
        <w:rPr>
          <w:rFonts w:ascii="Times New Roman;serif" w:hAnsi="Times New Roman;serif"/>
          <w:b/>
          <w:i/>
          <w:color w:val="000000"/>
          <w:sz w:val="20"/>
        </w:rPr>
        <w:t>PYRUKYND®, AQVESME™ or any product candidate that we commercialize may become subject to unfavorable pricing regulations and third-party reimbursement practices, which would harm our business.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built our commercial infrastructure to support the commercialization of PYRUKYND® in adult PK deficiency in the United States, and have expanded this infrastructure to support the commercial launch of AQVESME™ for the treatment of anemia in adults with non-transfusion dependent and transfusion-dependent alpha- or beta-thalassemia in the United States and the potential commercial launch of mitapivat in SCD in the United States. The commercial success of PYRUKYND®, AQVESME™ or of any of our product candidates will depend substantially, both domestically and abroad, on the extent to which the costs of our product candidates will be paid by third-party payors, including government health administration authorities and private health coverage insurers. If coverage and reimbursement are not available, or reimbursement is available only to limited levels, we, or any collaborators, may not be able to successfully commercialize PYRUKYND®, AQVESME™ or our product candidates. Even if coverage is provided, the approved reimbursement amount may not be high enough to allow us, or any future collaborators, to establish or maintain pricing sufficient to realize a sufficient return on our or their investments.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no uniform policy of coverage and reimbursement for products exists among third-party payors, and coverage and reimbursement for products can differ significantly from payor to payor. As a result, the coverage determination process is often a time-consuming and costly process that requires us to provide scientific and clinical support for the use of our products to each payor separately, with no assurance that coverage and adequate reimbursement will be applied consistently or obtained in the first instance.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we, or any collaborators, might obtain marketing approval for a product in a particular country, but then be subject to price regulations that delay commercial launch of the product, possibly for lengthy time periods, which may negatively impact the revenue we are able to generate from the sale of the product in that country. Adverse pricing limitations may hinder our ability or the ability of any collaborators to recoup our or their investment in one or more product candidates, even if our product candidates obtain marketing approval.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Patients who are provided medical treatment for their conditions generally rely on third-party payors to reimburse all or part of the costs associated with their treatment. Third-party payors decide which medications they will cover and establish reimbursement levels. The healthcare industry is acutely focused on cost containment, both in the United States and elsewhere. Government authorities and other third-party payors have attempted to control costs by limiting coverage and the amount of reimbursement for particular medications, which could affect our ability or that of any collaborators to sell PYRUKYND®, AQVESME™ or our product candidates profitably. These payors may not view our products as cost-effective, and coverage and reimbursement may not be available to our customers, or those of any collaborators, or may not be sufficient to allow our products to be marketed on a competitive basis. Cost-control initiatives could cause us, or any collaborators, to decrease the price we, or they, might establish for products, which could result in lower than anticipated product revenue. If the prices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products decrease or if governmental and other third-party payors do not provide coverage or adequate reimbursement, our prospects for revenue and profitability will suffer.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increasingly, third-party payors are requiring higher levels of evidence of the benefits and clinical outcomes of new technologies and are challenging the prices charged. We cannot be sure that coverage will be available for PYRUKYND®, AQVESME™ or any product candidate that we, or any collaborator, may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PYRUKYND®, AQVESME™ or any of our product candidates for which we, or any collaborator, may obtain marketing approval could significantly harm our operating results, our ability to raise capital needed to commercialize products and our overall financial condition. </w:t>
      </w:r>
    </w:p>
    <w:p>
      <w:pPr>
        <w:pStyle w:val="TextBody"/>
        <w:bidi w:val="0"/>
        <w:spacing w:lineRule="auto" w:line="288" w:before="0" w:after="180"/>
        <w:jc w:val="both"/>
        <w:rPr/>
      </w:pPr>
      <w:r>
        <w:rPr>
          <w:rFonts w:ascii="Times New Roman;serif" w:hAnsi="Times New Roman;serif"/>
          <w:b/>
          <w:i/>
          <w:color w:val="000000"/>
          <w:sz w:val="20"/>
        </w:rPr>
        <w:t>Current and future healthcare reform legislation may increase the difficulty and cost for us and any collaborators to commercialize our drug candidates.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any collaborators, to profitably sell PYRUKYND®, AQVESME™ or any other product candidate for which we, or they, obtain marketing approval. We expect that current laws, as well as other healthcare reform measures that may be adopted in the future, may result in more rigorous coverage criteria and additional downward pressure on the price that we, or any collaborators, may receive for any approved products. If reimbursement of our products is unavailable or limited in scope, our business could be materially harmed.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2011, the Budget Control Act of 2011, among other things, created measures for spending reductions by Congress. This legislation resulted in aggregate reductions to Medicare payments to providers of up to 2% per fiscal year, which will remain in effect for six months into fiscal year 2032.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Since enactment of the Patient Protection and Affordable Care Act, as amended by the Health Care and Education Affordability Reconciliation Act, or collectively, the ACA, there have been, and continue to be, numerous legal challenges and Congressional actions to repeal and replace provisions of the law. President Trump recently revoked numerous executive orders issued by President Biden, including at least two executive orders which were designed to further implement the ACA. Litigation and legislation over the ACA are likely to continue, with unpredictable and uncertain results. </w:t>
      </w:r>
    </w:p>
    <w:p>
      <w:pPr>
        <w:pStyle w:val="TextBody"/>
        <w:bidi w:val="0"/>
        <w:spacing w:lineRule="auto" w:line="288" w:before="0" w:after="180"/>
        <w:jc w:val="both"/>
        <w:rPr/>
      </w:pPr>
      <w:r>
        <w:rPr>
          <w:rFonts w:ascii="Times New Roman;serif" w:hAnsi="Times New Roman;serif"/>
          <w:b/>
          <w:i/>
          <w:color w:val="000000"/>
          <w:sz w:val="20"/>
        </w:rPr>
        <w:t>The prices of prescription pharmaceuticals in the United States and foreign jurisdictions are subject to considerable legislative and executive actions and could impact the prices we obtain for our drug products, if and when approved, and/or the sustainability of those prices.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prices of prescription pharmaceuticals have also been the subject of considerable discussion in the United States.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2025, President Trump issued an executive order which directs HHS to take steps to reduce the prices of pharmaceutical products and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executive order relate to the 340B program.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 In May 2025, President Trump issued an additional executive order calling on pharmaceutical manufacturers to voluntarily reduce the prices of medicines in the United States. The executive order directs the Secretary of HHS to communicate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Subsequently, HHS indicated that the proposed MFN pricing will apply only to brand products without generic or biosimilar competition and the referenced foreign countries will include only those in which the branded product similarly does not have generic or biosimilar competition. HHS also indicated that the MFN target price will be the lowest price in a country that is a member of the Organization for Economic Co-operation and Development, or OECD, with a gross domestic product per capita of at least 60% of the U.S. gross domestic product per capita. The implications of these actions remain unclear and our business could be negatively impacted.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CMS, through its Center for Medicare and Medicaid Innovation, has proposed two five-year pilot programs to implement a “reference pricing” regime for drugs paid for under Medicare for 25% of covered beneficiaries. The programs are referred to as the Global Benchmark for Efficient Drug Pricing Model for Medicare Part B drugs, referred to as GLOBE, which is proposed to go into effect beginning October 1, 2026, and the Guarding U.S. Medicare Against Rising Drug Costs for Medicare Part D drugs, referred to as GUARD, which is proposed to go into effect beginning January 1, 2027. Under the proposed pilot programs, a manufacturer would owe rebates to Medicare if prices for their drugs exceeded the prices paid by other economically comparable reference countries, defined in the proposed regulations as OECD countries with a gross domestic product of $400 billion and a per capita GDP that is at least 60% of the U.S. per capita gross domestic product (an initial list of 19 reference countries is included in the proposed rule).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or product candidates or additional pricing pressures.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EU, similar political, economic and regulatory developments may affect our ability to profitably commercialize our product candidates, if approved. In markets outside of the United States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If pricing is set at unsatisfactory levels, our business could be materially harmed. </w:t>
      </w:r>
    </w:p>
    <w:p>
      <w:pPr>
        <w:pStyle w:val="TextBody"/>
        <w:bidi w:val="0"/>
        <w:spacing w:lineRule="auto" w:line="288" w:before="0" w:after="180"/>
        <w:jc w:val="both"/>
        <w:rPr/>
      </w:pPr>
      <w:r>
        <w:rPr>
          <w:rFonts w:ascii="Times New Roman;serif" w:hAnsi="Times New Roman;serif"/>
          <w:b/>
          <w:i/>
          <w:color w:val="000000"/>
          <w:sz w:val="20"/>
        </w:rPr>
        <w:t>We are subject to U.S. and foreign export control, import, sanctions, anti-corruption and anti-money laundering laws with respect to our operations, and non-compliance with such laws can subject us to criminal and/or civil liability and harm our business.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the USA PATRIOT Act, and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have entered into distribution agreements with third parties for the commercialization of PYRUKYND® in certain jurisdictions outside of the United States. We can be held liable for the corrupt or other illegal activities of these third-party intermediaries, our employees, representatives, contractors, partners, and agents, even if we do not explicitly authorize or have actual knowledge of such activities.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Noncompliance with such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compliance costs and other professional fees. In certain cases, enforcement authorities may even cause us to appoint an independent compliance monitor which can result in added costs and administrative burdens. </w:t>
      </w:r>
    </w:p>
    <w:p>
      <w:pPr>
        <w:pStyle w:val="TextBody"/>
        <w:bidi w:val="0"/>
        <w:spacing w:lineRule="auto" w:line="288" w:before="0" w:after="180"/>
        <w:jc w:val="both"/>
        <w:rPr/>
      </w:pPr>
      <w:r>
        <w:rPr>
          <w:rFonts w:ascii="Times New Roman;serif" w:hAnsi="Times New Roman;serif"/>
          <w:b/>
          <w:i/>
          <w:color w:val="000000"/>
          <w:sz w:val="20"/>
        </w:rPr>
        <w:t>Changes in and uncertainty surrounding U.S. trade policy could have a material adverse impact on our business, financial condition and results of operations.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spring 2025, the Trump administration initiated a series of tariff-related actions against U.S. trading partners. On April 2, 2025, the President issued an executive order announcing a “baseline” reciprocal tariff of 10% on all U.S. trading partners effective April 5, 2025, and higher individualized reciprocal tariffs on 57 countries (with certain product exemptions for pharmaceutical-related products, among others). Previously, the administration had imposed a 25% tariff on Canada and Mexico for goods not covered by the United States-Mexico-Canada Agreement and tariffs due to drug trafficking equaling 20% on imports from China. In response, several countries threatened retaliatory measures, including Canada and China, which then imposed retaliatory tariffs. Prior to when the country-specific reciprocal tariffs were scheduled to take effect, the administration delayed the effective date of such tariffs for all countries except China. Several countries, including the United Kingdom, Japan, South Korea, among others, and the European Union, have reached deals with the U.S. that include reduced tariff rates and other measures. President Trump then issued an executive order detailing new reciprocal tariff rates for individual countries that took effect on August 7, 2025. Deals with the European Union, Japan, South Korea, Switzerland (and Liechtenstein), the United Kingdom and others cap pharmaceutical tariffs at 15%. The U.S. and China reached a tentative agreement that resulted in the suspension of the higher reciprocal tariffs on China until November 10,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reciprocal tariffs and the drug trafficking tariffs were imposed pursuant to the International Emergency Economic Powers Act, or the IEEPA. These tariffs were found to be unconstitutional by multiple federal courts in the spring and summer of 2025. On February 20, 2026, the U.S. Supreme Court held that the IEEPA does not authorize the U.S. President to impose tariffs, invalidating both the reciprocal tariffs and the drug trafficking tariffs. Shortly thereafter, President Trump issued a new executive order revoking the IEEPA tariffs and Customs and Border Protection ceased collecting the tariffs on February 24, 2026. At the same time, however, the Trump Administration imposed a new 10% global tariff under Section 122 of the Trade Act of 1974, effective February 24, 2026. Pursuant to the statute, these tariffs expired on July 24, 2026. However, on July 23, 2026, the Office of the U.S. Trade Representative announced final action under Section 301 of the Trade Act of 1974 imposing new tariffs on imports from 60 trading partners based on findings that those countries had failed to adopt and effectively enforce prohibitions on imports of goods produced with forced labor. The new tariffs, set at either 10% or 12.5% depending on the country’s level of commitment to forced-labor import restrictions, took effect on July 24, 2026, and replaced the tariffs that had been imposed under Section 122. The Trump Administration has announced that it also plans to initiate new investigations related to excess capacity on “most major trading partners” under Section 301 of the same act, which will likely lead to additional tariffs.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Sustained uncertainty about, or the further escalation of, trade and political tensions between the United States and China could result in a disadvantageous research and manufacturing environment in China, particularly for U.S. based companies, including retaliatory restrictions that hinder or potentially inhibit our ability to rely on contract development and manufacturing organizations and other service providers that operate in China.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Separately, in April 2025, the U.S. Department of Commerce announced an investigation under Section 232 of the Trade Expansion Act of 1962 into the imports of pharmaceuticals and pharmaceutical ingredients, including finished drug products, medical countermeasures, critical inputs such as active pharmaceutical ingredients, and key starting materials, and derivative products of those items. In September 2025, via a post on Truth Social, the President announced that, beginning October 1, 2025, all branded or patented drugs imported in the U.S. would face a 100% tariff. The President indicated that the tariffs could be avoided by building pharmaceutical manufacturing facilities in the U.S. Thereafter, the President delayed the October 1st effective date of the tariffs and announced that the administration had “begun preparing” tariffs on manufacturers that do not build in the U.S. or enter into a most-favored-nation drug pricing agreement with the administration. A host of other U.S. tariff actions remain possible, including an additional 25% tariff on products from countries that do business with Iran or Cuba.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The CREATES Act exposes us to possible litigation and damages by competitors who may claim that we are not providing sufficient quantities of our approved products on commercially reasonable, market-based terms for testing in support of their ANDAs and 505(b)(2) applications.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Creating and Restoring Equal Access to Equivalent Samples Act of 2019, or the CREATES Act, authorizes sponsors of ANDAs and 505(b)(2) applications to file lawsuits against companies holding NDAs that decline to provide sufficient quantities of an approved reference drug on commercially reasonable, market-based terms, subject to certain exemptions.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a sponsor were to bring an action under the statute and prevail in litigation, it is entitled to a court order directing the NDA holder to provide, without delay, sufficient quantities of the applicable product on commercially reasonable, market-based terms, plus reasonable attorney fees and costs. Additionally, the statutory provisions authorize a federal court to award the sponsor an amount “sufficient to deter” the NDA holder from refusing to provide sufficient product quantities on commercially reasonable, market-based terms if the court finds, by a preponderance of the evidence, that the NDA holder did not have a legitimate business justification to delay providing the product or failed to comply with the court’s order.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intend to fully comply with the terms of these statutory provisions, we are still exposed to potential litigation and damages by competitors who may claim that we are not complying. Such litigation would subject us to additional costs, damages and reputational harm, which could lead to lower revenues. The CREATES Act may enable generic competition with PYRUKYND®, AQVESME™ and any of our product candidates, if approved, which could impact our ability to maximize product revenue. </w:t>
      </w:r>
    </w:p>
    <w:p>
      <w:pPr>
        <w:pStyle w:val="TextBody"/>
        <w:bidi w:val="0"/>
        <w:spacing w:lineRule="auto" w:line="288" w:before="0" w:after="180"/>
        <w:jc w:val="both"/>
        <w:rPr/>
      </w:pPr>
      <w:r>
        <w:rPr>
          <w:rFonts w:ascii="Times New Roman;serif" w:hAnsi="Times New Roman;serif"/>
          <w:b/>
          <w:i/>
          <w:color w:val="000000"/>
          <w:sz w:val="20"/>
        </w:rPr>
        <w:t>If we fail to comply with environmental, health and safety laws and regulations, we could become subject to fines or penalties or incur costs that could have a material adverse effect on the success of our business.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t>
      </w:r>
    </w:p>
    <w:p>
      <w:pPr>
        <w:pStyle w:val="TextBody"/>
        <w:bidi w:val="0"/>
        <w:spacing w:lineRule="auto" w:line="288" w:before="0" w:after="180"/>
        <w:jc w:val="both"/>
        <w:rPr/>
      </w:pPr>
      <w:r>
        <w:rPr>
          <w:rFonts w:ascii="Times New Roman;serif" w:hAnsi="Times New Roman;serif"/>
          <w:b/>
          <w:color w:val="000000"/>
          <w:sz w:val="20"/>
        </w:rPr>
        <w:t>Risks Related to Employee Matters and Managing Growth</w:t>
      </w:r>
      <w:r>
        <w:rPr>
          <w:color w:val="000000"/>
        </w:rPr>
        <w:t xml:space="preserve"> </w:t>
      </w:r>
    </w:p>
    <w:p>
      <w:pPr>
        <w:pStyle w:val="TextBody"/>
        <w:bidi w:val="0"/>
        <w:spacing w:lineRule="auto" w:line="288" w:before="0" w:after="180"/>
        <w:jc w:val="both"/>
        <w:rPr/>
      </w:pPr>
      <w:r>
        <w:rPr>
          <w:rFonts w:ascii="Times New Roman;serif" w:hAnsi="Times New Roman;serif"/>
          <w:b/>
          <w:i/>
          <w:color w:val="000000"/>
          <w:sz w:val="20"/>
        </w:rPr>
        <w:t>Our future success depends on our ability to retain our key executives and scientific leadership and to attract, retain and motivate qualified personnel.</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on the principal members of our management and scientific teams, each of whom is employed “at will,” meaning we or they may terminate the employment relationship at any time. We do not maintain “key person” insurance for any of our executives or other employees. The loss of the services of any of these persons could impede the achievement of our research, development and commercialization objectives. We cannot predict the likelihood, timing or effect of future transitions among our executive leadership.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Recruiting and retaining qualified scientific, clinical, manufacturing, regulatory and sales and marketing personnel will also be critical to our success. We may not be able to attract and retain these personnel on acceptable terms given the competition among numerous pharmaceutical and biotechnology companies and universities and research institutions for similar personnel. Our consultants and advisors who assist us in formulating our research and development and commercialization strategy may be employed by employers other than us and may have commitments under consulting or advisory contracts with other entities that may limit their availability to us. Furthermore, our flexible workplace policy which allows employees to work from home may make it difficult for us to maintain our corporate culture.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future we may experience growth in the number of our development, regulatory and sales and marketing personnel. To manage any anticipated future growth, we must continue to implement and improve our managerial, operational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systems, expand our facilities and continue to recruit and train additional qualified personnel. Any inability to manage growth could delay the execution of our business plans or disrupt our operations. </w:t>
      </w:r>
    </w:p>
    <w:p>
      <w:pPr>
        <w:pStyle w:val="TextBody"/>
        <w:bidi w:val="0"/>
        <w:spacing w:lineRule="auto" w:line="288" w:before="0" w:after="180"/>
        <w:jc w:val="both"/>
        <w:rPr/>
      </w:pPr>
      <w:r>
        <w:rPr>
          <w:rFonts w:ascii="Times New Roman;serif" w:hAnsi="Times New Roman;serif"/>
          <w:b/>
          <w:i/>
          <w:color w:val="000000"/>
          <w:sz w:val="20"/>
        </w:rPr>
        <w:t>Our employees may engage in misconduct or other improper activities, including noncompliance with regulatory standards and requirements, which could have a material adverse effect on our business.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employee fraud or other misconduct. Misconduct by employees could include intentional failures to comply with FDA regulations or regulations in other jurisdictions, provide accurate information to the FDA or other regulatory authorities, comply with manufacturing standards we have established, comply with federal and state healthcare fraud and abuse laws and regulations, report financial information or data accurately, disclose unauthorized activities to us, or comply with securities laws. Employee misconduct could also involve the improper use of information obtained in the course of clinical trials or interactions with the FDA or other regulatory authorities, including for illegal insider trading activities,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 </w:t>
      </w:r>
    </w:p>
    <w:p>
      <w:pPr>
        <w:pStyle w:val="TextBody"/>
        <w:bidi w:val="0"/>
        <w:spacing w:lineRule="auto" w:line="288" w:before="0" w:after="180"/>
        <w:jc w:val="both"/>
        <w:rPr/>
      </w:pPr>
      <w:r>
        <w:rPr>
          <w:rFonts w:ascii="Times New Roman;serif" w:hAnsi="Times New Roman;serif"/>
          <w:b/>
          <w:color w:val="000000"/>
          <w:sz w:val="20"/>
        </w:rPr>
        <w:t>Risks Related to Our Common Stock and Other Matters</w:t>
      </w:r>
      <w:r>
        <w:rPr>
          <w:color w:val="000000"/>
        </w:rPr>
        <w:t xml:space="preserve"> </w:t>
      </w:r>
    </w:p>
    <w:p>
      <w:pPr>
        <w:pStyle w:val="TextBody"/>
        <w:bidi w:val="0"/>
        <w:spacing w:lineRule="auto" w:line="288" w:before="0" w:after="180"/>
        <w:jc w:val="both"/>
        <w:rPr/>
      </w:pPr>
      <w:r>
        <w:rPr>
          <w:rFonts w:ascii="Times New Roman;serif" w:hAnsi="Times New Roman;serif"/>
          <w:b/>
          <w:i/>
          <w:color w:val="000000"/>
          <w:sz w:val="20"/>
        </w:rPr>
        <w:t>Provisions in our corporate charter documents and under Delaware law could make an acquisition of us, which may be beneficial to our stockholders, more difficult and may prevent attempts by our stockholders to replace or remove our current management.</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establish a classified board of directors such that not all members of the board are elected at one time;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allow the authorized number of our directors to be changed only by resolution of our Board of Directors;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limit the manner in which stockholders can remove directors from our Board of Directors;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establish advance notice requirements for stockholder proposals that can be acted on at stockholder meetings and nominations to our Board of Directors;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require that stockholder actions must be effected at a duly called stockholder meeting and prohibit actions by our stockholders by written consent;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limit who may call stockholder meetings;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authorize our Board of Directors to issue preferred stock without stockholder approval, which could be used to institute a shareholder rights plan, or so-called “poison pill,” that would work to dilute the stock ownership of a potential hostile acquirer, effectively preventing acquisitions that have not been approved by our Board of Directors;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require the approval of the holders of at least 75% of the votes that all our stockholders would be entitled to cast to amend or repeal certain provisions of our charter or bylaws.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lineRule="auto" w:line="288" w:before="0" w:after="180"/>
        <w:jc w:val="both"/>
        <w:rPr/>
      </w:pPr>
      <w:r>
        <w:rPr>
          <w:rFonts w:ascii="Times New Roman;serif" w:hAnsi="Times New Roman;serif"/>
          <w:b/>
          <w:i/>
          <w:color w:val="000000"/>
          <w:sz w:val="20"/>
        </w:rPr>
        <w:t>The price of our common stock is volatile, which could result in substantial losses for purchasers of our common stock.</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common stock has been, and may continue to be, volatile and could be subject to wide fluctuations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response to various factors, some of which are beyond our control. The stock market in general and the market for biopharmaceutical companies in particular have experienced extreme volatility that has often been unrelated to the operating performance of particular companies. While the full extent of the economic impact of the recent increases in inflation rates (particularly as it relates to clinical- or manufacturing-related costs) may be difficult to assess or predict, such impacts have already caused, and are likely to result in further, significant disruption of global financial markets, which may reduce our ability to access capital either at all or on favorable terms.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price for our common stock may be influenced by many factors, including: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our success in launching and commercializing PYRUKYND® and AQVESME™;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announcements by us or our competitors of significant acquisitions, in-licensing arrangements, strategic partnerships, joint ventures, collaborations or capital commitments;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timing and results of clinical trials of product candidates, or our competitors’ product candidates;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regulatory actions with respect to our or our competitors’ products or product candidates;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commencement or termination of collaborations for our development programs;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failure or discontinuation of any of our development programs;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regulatory or legal developments in the United States and other countries;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developments or disputes concerning patent applications, issued patents or other proprietary rights;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recruitment or departure of key personnel;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level of expenses related to any of our products, product candidates or development programs;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results of our efforts to develop additional product candidates and products;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actual or anticipated changes in estimates as to financial results or development timelines;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announcement or expectation of additional financing efforts;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sales of our common stock by us, our insiders or other stockholders;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variations in our financial results or results of companies that are perceived to be similar to us;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changes in estimates, evaluations or recommendations by securities analysts, that cover our stock or the failure by one or more securities analysts to continue to cover our stock;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changes in the structure of healthcare payment systems;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market conditions in the pharmaceutical and biotechnology sectors;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general economic, political, industry and market conditions;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other factors described in this “Risk Factors” section.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past, following periods of volatility in the market price of a company's securities, securities class-action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also cannot guarantee that an active trading market for our shares will be sustained. An inactive trading market for our common stock may impair our ability to raise capital to continue to fund our operations by selling shares and may impair our ability to acquire other companies or technologies by using our shares as consideration.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condition and operating results also may fluctuate from quarter to quarter and year to year due to a variety of factors, many of which are beyond our control. Accordingly, our stockholders should not rely upon the results of any quarterly or annual periods as indications of future operating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180"/>
        <w:jc w:val="both"/>
        <w:rPr/>
      </w:pPr>
      <w:r>
        <w:rPr>
          <w:rFonts w:ascii="Times New Roman;serif" w:hAnsi="Times New Roman;serif"/>
          <w:b/>
          <w:i/>
          <w:color w:val="000000"/>
          <w:sz w:val="20"/>
        </w:rPr>
        <w:t>Our executive officers, directors and principal stockholders maintain the ability to significantly influence all matters submitted to stockholders for approval.</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executive officers, directors and principal stockholders, in the aggregate, beneficially owned shares representing a significant percentage of our capital stock. As a result, if these stockholders were to choose to act together, they would be able to significantly influence all matters submitted to our stockholders for approval, as well as our management and affairs. For example, these persons could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lineRule="auto" w:line="288" w:before="0" w:after="180"/>
        <w:jc w:val="both"/>
        <w:rPr/>
      </w:pPr>
      <w:r>
        <w:rPr>
          <w:rFonts w:ascii="Times New Roman;serif" w:hAnsi="Times New Roman;serif"/>
          <w:b/>
          <w:i/>
          <w:color w:val="000000"/>
          <w:sz w:val="20"/>
        </w:rPr>
        <w:t>Our ability to use our net operating loss carryforwards and certain other tax attributes may be limited.</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Sections 382 and 383 of the Code and corresponding provisions of state law, if a company undergoes an “ownership change,” generally defined as a greater than 50% change (by value) in its equity ownership by certain stockholders over a three-year period, the company’s ability to use its pre-change net operating loss carryforwards and other pre-change tax attributes (such as research tax credits) to offset its post-change taxable income may be limited. Our prior equity offerings and other changes in our stock ownership, some of which are outside of our control, may have resulted or could in the future result in an ownership change. We completed a review of our changes in ownership through December 31, 2025, and determined that we did not have a qualified ownership change since our last review as of December 31, 2024. Future ownership changes under Section 382 may limit the amount of net operating loss and tax credit carryforwards that we could potentially utilize to reduce future tax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is also a risk that due to regulatory changes, such as suspensions on the use of net operating losses, or other unforeseen reasons, our existing net operating losses could expire or otherwise become unavailable to offset future income tax liabilities. The Tax Act, as amended by the Coronavirus Aid, Relief, and Economic Security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 </w:t>
      </w:r>
    </w:p>
    <w:p>
      <w:pPr>
        <w:pStyle w:val="TextBody"/>
        <w:bidi w:val="0"/>
        <w:spacing w:lineRule="auto" w:line="288" w:before="0" w:after="180"/>
        <w:jc w:val="both"/>
        <w:rPr/>
      </w:pPr>
      <w:r>
        <w:rPr>
          <w:rFonts w:ascii="Times New Roman;serif" w:hAnsi="Times New Roman;serif"/>
          <w:b/>
          <w:i/>
          <w:color w:val="000000"/>
          <w:sz w:val="20"/>
        </w:rPr>
        <w:t>Our effective tax rate may fluctuate, and we may incur obligations in tax jurisdictions in excess of accrued amounts.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from previous periods or our current expectations due to numerous factors, including as a result of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may result in tax obligations in excess of amounts accrued in our financial statements. </w:t>
      </w:r>
    </w:p>
    <w:p>
      <w:pPr>
        <w:pStyle w:val="TextBody"/>
        <w:bidi w:val="0"/>
        <w:spacing w:lineRule="auto" w:line="288" w:before="0" w:after="180"/>
        <w:jc w:val="both"/>
        <w:rPr/>
      </w:pPr>
      <w:r>
        <w:rPr>
          <w:rFonts w:ascii="Times New Roman;serif" w:hAnsi="Times New Roman;serif"/>
          <w:b/>
          <w:i/>
          <w:color w:val="000000"/>
          <w:sz w:val="20"/>
        </w:rPr>
        <w:t>We incur costs as a result of operating as a public company, and our management is required to devote substantial time to compliance initiatives and corporate governance practices.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and will continue to incur significant legal, accounting and other expenses as a public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Stockholder activism, the current political environment and the current high level of government intervention and regulatory reform may lead to substantial new regulations. Our management and other personnel devote, and will need to continue to devote, a substantial amount of time to these compliance initiatives. Moreover, these rules and regulations increase our legal and financial compliance costs and make some activities more time-consuming and costly. </w:t>
      </w:r>
    </w:p>
    <w:p>
      <w:pPr>
        <w:pStyle w:val="TextBody"/>
        <w:bidi w:val="0"/>
        <w:spacing w:lineRule="auto" w:line="288" w:before="0" w:after="180"/>
        <w:jc w:val="both"/>
        <w:rPr/>
      </w:pPr>
      <w:r>
        <w:rPr>
          <w:rFonts w:ascii="Times New Roman;serif" w:hAnsi="Times New Roman;serif"/>
          <w:b/>
          <w:i/>
          <w:color w:val="000000"/>
          <w:sz w:val="20"/>
        </w:rPr>
        <w:t>Because we do not anticipate paying any cash dividends on our capital stock in the foreseeable future, capital appreciation, if any, will be the sole source of gain for our stockholders.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currently intend to retain all of our future earnings, if any, to finance the growth and development of our business. As a result, capital appreciation, if any, of our common stock will be the sole source of gain for our stockholders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(c) </w:t>
      </w:r>
      <w:r>
        <w:rPr>
          <w:rFonts w:ascii="Times New Roman;serif" w:hAnsi="Times New Roman;serif"/>
          <w:b/>
          <w:i/>
          <w:color w:val="000000"/>
          <w:sz w:val="20"/>
        </w:rPr>
        <w:t>Director and Officer Trading Arrangements</w:t>
      </w:r>
      <w:r>
        <w:rPr>
          <w:color w:val="000000"/>
        </w:rPr>
        <w:t xml:space="preserve"> </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compensation of our directors and officers (as defined in Rule 16a-1(f) under the Exchange Act) is in the form of equity awards and, from time to time, directors and officers engage in open-market transactions with respect to the securities acquired pursuant to such equity awards or other of our securities, including to satisfy tax withholding obligations when equity awards vest or are exercised, and for diversification or other personal reasons.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 </w:t>
      </w:r>
    </w:p>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describes, for the quarterly period covered by this report, each trading arrangement for the sale or purchase of Company securities adopted or terminated by our directors and officers that is either (1) a contract, instruction or written plan intended to satisfy the affirmative defense conditions of Rule 10b5-1(c) (a “Rule 10b5-1 trading arrangement”) or (2) a “non-Rule 10b5-1 trading arrangement” (as defined in Item 408(c) of Regulation S-K): </w:t>
      </w:r>
    </w:p>
    <w:tbl>
      <w:tblPr>
        <w:tblW w:w="10205" w:type="dxa"/>
        <w:jc w:val="left"/>
        <w:tblInd w:w="0" w:type="dxa"/>
        <w:tblLayout w:type="fixed"/>
        <w:tblCellMar>
          <w:top w:w="28" w:type="dxa"/>
          <w:left w:w="28" w:type="dxa"/>
          <w:bottom w:w="28" w:type="dxa"/>
          <w:right w:w="28" w:type="dxa"/>
        </w:tblCellMar>
      </w:tblPr>
      <w:tblGrid>
        <w:gridCol w:w="957"/>
        <w:gridCol w:w="841"/>
        <w:gridCol w:w="850"/>
        <w:gridCol w:w="537"/>
        <w:gridCol w:w="361"/>
        <w:gridCol w:w="362"/>
        <w:gridCol w:w="527"/>
        <w:gridCol w:w="527"/>
        <w:gridCol w:w="529"/>
        <w:gridCol w:w="529"/>
        <w:gridCol w:w="529"/>
        <w:gridCol w:w="531"/>
        <w:gridCol w:w="562"/>
        <w:gridCol w:w="562"/>
        <w:gridCol w:w="563"/>
        <w:gridCol w:w="418"/>
        <w:gridCol w:w="418"/>
        <w:gridCol w:w="602"/>
      </w:tblGrid>
      <w:tr>
        <w:trPr/>
        <w:tc>
          <w:tcPr>
            <w:tcW w:w="95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2648"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Name (Title)</w:t>
            </w:r>
          </w:p>
        </w:tc>
        <w:tc>
          <w:tcPr>
            <w:tcW w:w="1260"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Action Taken (Date of Action)</w:t>
            </w:r>
          </w:p>
        </w:tc>
        <w:tc>
          <w:tcPr>
            <w:tcW w:w="1583"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Type of Trading Arrangement</w:t>
            </w:r>
          </w:p>
        </w:tc>
        <w:tc>
          <w:tcPr>
            <w:tcW w:w="1589"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Nature of Trading Arrangement</w:t>
            </w:r>
          </w:p>
        </w:tc>
        <w:tc>
          <w:tcPr>
            <w:tcW w:w="1687" w:type="dxa"/>
            <w:gridSpan w:val="3"/>
            <w:tcBorders>
              <w:top w:val="single" w:sz="8" w:space="0" w:color="000000"/>
              <w:left w:val="single" w:sz="8" w:space="0" w:color="000000"/>
            </w:tcBorders>
            <w:shd w:fill="D9D9D9" w:val="clear"/>
            <w:tcMar>
              <w:top w:w="52"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1438" w:type="dxa"/>
            <w:gridSpan w:val="3"/>
            <w:tcBorders>
              <w:top w:val="single" w:sz="8" w:space="0" w:color="000000"/>
              <w:left w:val="single" w:sz="8" w:space="0" w:color="000000"/>
              <w:right w:val="single" w:sz="8" w:space="0" w:color="000000"/>
            </w:tcBorders>
            <w:shd w:fill="D9D9D9" w:val="clear"/>
            <w:tcMar>
              <w:top w:w="52" w:type="dxa"/>
              <w:bottom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Aggregate Number of Securities</w:t>
            </w:r>
          </w:p>
        </w:tc>
      </w:tr>
      <w:tr>
        <w:trPr/>
        <w:tc>
          <w:tcPr>
            <w:tcW w:w="264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Sarah Gheuens, M.D., Ph.D. (Chief Medical Officer, Head of Research &amp; Development)</w:t>
            </w:r>
          </w:p>
        </w:tc>
        <w:tc>
          <w:tcPr>
            <w:tcW w:w="12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Adoption (May 1, 2026)</w:t>
            </w:r>
          </w:p>
        </w:tc>
        <w:tc>
          <w:tcPr>
            <w:tcW w:w="158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158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68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Through and including August 2, 2027</w:t>
            </w:r>
          </w:p>
        </w:tc>
        <w:tc>
          <w:tcPr>
            <w:tcW w:w="1438"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Up to 151,653 shares</w:t>
            </w:r>
          </w:p>
        </w:tc>
      </w:tr>
      <w:tr>
        <w:trPr/>
        <w:tc>
          <w:tcPr>
            <w:tcW w:w="264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Cecilia Jones (Chief Financial Officer)</w:t>
            </w:r>
          </w:p>
        </w:tc>
        <w:tc>
          <w:tcPr>
            <w:tcW w:w="12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Adoption (May 1, 2026)</w:t>
            </w:r>
          </w:p>
        </w:tc>
        <w:tc>
          <w:tcPr>
            <w:tcW w:w="158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158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68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Through and including August 2, 2027</w:t>
            </w:r>
          </w:p>
        </w:tc>
        <w:tc>
          <w:tcPr>
            <w:tcW w:w="1438"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Up to 34,076 shares</w:t>
            </w:r>
          </w:p>
        </w:tc>
      </w:tr>
      <w:tr>
        <w:trPr/>
        <w:tc>
          <w:tcPr>
            <w:tcW w:w="264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Tsveta Milanova (Chief Commercial Officer)</w:t>
            </w:r>
          </w:p>
        </w:tc>
        <w:tc>
          <w:tcPr>
            <w:tcW w:w="126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Adoption (May 1, 2026)</w:t>
            </w:r>
          </w:p>
        </w:tc>
        <w:tc>
          <w:tcPr>
            <w:tcW w:w="158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158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Sale</w:t>
            </w:r>
          </w:p>
        </w:tc>
        <w:tc>
          <w:tcPr>
            <w:tcW w:w="168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Through and including July 30, 2027</w:t>
            </w:r>
          </w:p>
        </w:tc>
        <w:tc>
          <w:tcPr>
            <w:tcW w:w="1438"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Up to 9,403 shares</w:t>
            </w:r>
          </w:p>
        </w:tc>
      </w:tr>
      <w:tr>
        <w:trPr/>
        <w:tc>
          <w:tcPr>
            <w:tcW w:w="264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68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0"/>
        <w:gridCol w:w="246"/>
        <w:gridCol w:w="247"/>
        <w:gridCol w:w="109"/>
        <w:gridCol w:w="109"/>
        <w:gridCol w:w="109"/>
        <w:gridCol w:w="1425"/>
        <w:gridCol w:w="1050"/>
        <w:gridCol w:w="1052"/>
        <w:gridCol w:w="109"/>
        <w:gridCol w:w="109"/>
        <w:gridCol w:w="109"/>
        <w:gridCol w:w="175"/>
        <w:gridCol w:w="175"/>
        <w:gridCol w:w="176"/>
        <w:gridCol w:w="109"/>
        <w:gridCol w:w="109"/>
        <w:gridCol w:w="109"/>
        <w:gridCol w:w="357"/>
        <w:gridCol w:w="357"/>
        <w:gridCol w:w="358"/>
        <w:gridCol w:w="109"/>
        <w:gridCol w:w="109"/>
        <w:gridCol w:w="109"/>
        <w:gridCol w:w="287"/>
        <w:gridCol w:w="225"/>
        <w:gridCol w:w="226"/>
        <w:gridCol w:w="109"/>
        <w:gridCol w:w="109"/>
        <w:gridCol w:w="109"/>
        <w:gridCol w:w="245"/>
        <w:gridCol w:w="245"/>
        <w:gridCol w:w="246"/>
        <w:gridCol w:w="109"/>
        <w:gridCol w:w="109"/>
        <w:gridCol w:w="109"/>
        <w:gridCol w:w="250"/>
        <w:gridCol w:w="250"/>
        <w:gridCol w:w="371"/>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Filed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Herewith</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30,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001-36014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Agios Pharmaceuticals, Inc. 2023 Stock Incenti</w:t>
              </w:r>
            </w:hyperlink>
            <w:hyperlink r:id="rId5">
              <w:r>
                <w:rPr>
                  <w:rStyle w:val="InternetLink"/>
                  <w:rFonts w:ascii="Times New Roman;serif" w:hAnsi="Times New Roman;serif"/>
                  <w:b w:val="false"/>
                  <w:color w:val="000080"/>
                  <w:sz w:val="20"/>
                  <w:u w:val="single"/>
                </w:rPr>
                <w:t>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333-296899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io-ex311x06x30x26.htm">
              <w:r>
                <w:rPr>
                  <w:rStyle w:val="InternetLink"/>
                  <w:rFonts w:ascii="Times New Roman;serif" w:hAnsi="Times New Roman;serif"/>
                  <w:b w:val="false"/>
                  <w:color w:val="000080"/>
                  <w:sz w:val="20"/>
                  <w:u w:val="single"/>
                </w:rPr>
                <w:t>Certification of principal executive officer pursuant to Rule 13a 14(a)/15d</w:t>
              </w:r>
            </w:hyperlink>
            <w:hyperlink w:anchor="agio-ex311x06x30x26.htm">
              <w:r>
                <w:rPr>
                  <w:rStyle w:val="InternetLink"/>
                  <w:rFonts w:ascii="Times New Roman;serif" w:hAnsi="Times New Roman;serif"/>
                  <w:b w:val="false"/>
                  <w:color w:val="000080"/>
                  <w:sz w:val="20"/>
                  <w:u w:val="single"/>
                </w:rPr>
                <w:t>-</w:t>
              </w:r>
            </w:hyperlink>
            <w:hyperlink w:anchor="agio-ex311x06x30x26.htm">
              <w:r>
                <w:rPr>
                  <w:rStyle w:val="InternetLink"/>
                  <w:rFonts w:ascii="Times New Roman;serif" w:hAnsi="Times New Roman;serif"/>
                  <w:b w:val="false"/>
                  <w:color w:val="000080"/>
                  <w:sz w:val="20"/>
                  <w:u w:val="single"/>
                </w:rPr>
                <w:t>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io-ex312x06x30x26.htm">
              <w:r>
                <w:rPr>
                  <w:rStyle w:val="InternetLink"/>
                  <w:rFonts w:ascii="Times New Roman;serif" w:hAnsi="Times New Roman;serif"/>
                  <w:b w:val="false"/>
                  <w:color w:val="0000FF"/>
                  <w:sz w:val="20"/>
                  <w:u w:val="single"/>
                </w:rPr>
                <w:t>Certification of principal financial officer pursuant to Rule 13a-14(a)/15d-14(a) of the Securities Exchange Act of 1934,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io-ex321x06x30x26.htm">
              <w:r>
                <w:rPr>
                  <w:rStyle w:val="InternetLink"/>
                  <w:rFonts w:ascii="Times New Roman;serif" w:hAnsi="Times New Roman;serif"/>
                  <w:b w:val="false"/>
                  <w:color w:val="0000FF"/>
                  <w:sz w:val="20"/>
                  <w:u w:val="single"/>
                </w:rPr>
                <w:t>Certification of principal executive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gio-ex322x06x30x26.htm">
              <w:r>
                <w:rPr>
                  <w:rStyle w:val="InternetLink"/>
                  <w:rFonts w:ascii="Times New Roman;serif" w:hAnsi="Times New Roman;serif"/>
                  <w:b w:val="false"/>
                  <w:color w:val="0000FF"/>
                  <w:sz w:val="20"/>
                  <w:u w:val="single"/>
                </w:rPr>
                <w:t>Certification of principal financial officer pursuant to 18 U.S.C.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not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99e15f3b853459c94ad88039f898d82_10">
        <w:r>
          <w:rPr>
            <w:rStyle w:val="InternetLink"/>
            <w:rFonts w:ascii="Times New Roman;serif" w:hAnsi="Times New Roman;serif"/>
            <w:b w:val="false"/>
            <w:color w:val="000080"/>
            <w:sz w:val="20"/>
            <w:u w:val="single"/>
          </w:rPr>
          <w:t>Table of Contents</w:t>
        </w:r>
      </w:hyperlink>
      <w:hyperlink w:anchor="if99e15f3b853459c94ad88039f898d82_10">
        <w:r>
          <w:rPr>
            <w:rStyle w:val="InternetLink"/>
            <w:rFonts w:ascii="Times New Roman;serif" w:hAnsi="Times New Roman;serif"/>
            <w:b w:val="false"/>
            <w:color w:val="000080"/>
            <w:sz w:val="20"/>
            <w:u w:val="single"/>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5624" w:type="dxa"/>
        <w:jc w:val="left"/>
        <w:tblInd w:w="0" w:type="dxa"/>
        <w:tblLayout w:type="fixed"/>
        <w:tblCellMar>
          <w:top w:w="28" w:type="dxa"/>
          <w:left w:w="28" w:type="dxa"/>
          <w:bottom w:w="28" w:type="dxa"/>
          <w:right w:w="28" w:type="dxa"/>
        </w:tblCellMar>
      </w:tblPr>
      <w:tblGrid>
        <w:gridCol w:w="443"/>
        <w:gridCol w:w="390"/>
        <w:gridCol w:w="396"/>
        <w:gridCol w:w="330"/>
        <w:gridCol w:w="330"/>
        <w:gridCol w:w="330"/>
        <w:gridCol w:w="330"/>
        <w:gridCol w:w="330"/>
        <w:gridCol w:w="330"/>
        <w:gridCol w:w="702"/>
        <w:gridCol w:w="702"/>
        <w:gridCol w:w="1011"/>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AGIOS PHARMACEUTICALS, INC.</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Goff</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Brian Goff</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30, 2026</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Cecilia Jones</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Cecilia Jones</w:t>
              <w:b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Brian Goff,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Agios Pharmaceuticals, Inc.;</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30, 2026 </w:t>
      </w:r>
    </w:p>
    <w:tbl>
      <w:tblPr>
        <w:tblW w:w="2757" w:type="dxa"/>
        <w:jc w:val="left"/>
        <w:tblInd w:w="0" w:type="dxa"/>
        <w:tblLayout w:type="fixed"/>
        <w:tblCellMar>
          <w:top w:w="28" w:type="dxa"/>
          <w:left w:w="28" w:type="dxa"/>
          <w:bottom w:w="28" w:type="dxa"/>
          <w:right w:w="28" w:type="dxa"/>
        </w:tblCellMar>
      </w:tblPr>
      <w:tblGrid>
        <w:gridCol w:w="124"/>
        <w:gridCol w:w="109"/>
        <w:gridCol w:w="109"/>
        <w:gridCol w:w="704"/>
        <w:gridCol w:w="704"/>
        <w:gridCol w:w="10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Cecilia Jones, certify that: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Agios Pharmaceuticals, Inc.;</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bl>
      <w:tblPr>
        <w:tblW w:w="2682" w:type="dxa"/>
        <w:jc w:val="left"/>
        <w:tblInd w:w="0" w:type="dxa"/>
        <w:tblLayout w:type="fixed"/>
        <w:tblCellMar>
          <w:top w:w="28" w:type="dxa"/>
          <w:left w:w="28" w:type="dxa"/>
          <w:bottom w:w="28" w:type="dxa"/>
          <w:right w:w="28" w:type="dxa"/>
        </w:tblCellMar>
      </w:tblPr>
      <w:tblGrid>
        <w:gridCol w:w="124"/>
        <w:gridCol w:w="109"/>
        <w:gridCol w:w="109"/>
        <w:gridCol w:w="685"/>
        <w:gridCol w:w="685"/>
        <w:gridCol w:w="9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Cecilia Jones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Cecilia Jones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on Form 10-Q of Agios Pharmaceuticals, Inc. (the “Company”) for the fiscal quarter ended June 30, 2026, as filed with the Securities and Exchange Commission on the date hereof (the “Report”), the undersigned, Brian Goff, Chief Executive Officer of the Company, hereby certifies, pursuant to 18 U.S.C. Section 1350, that, to his knowledge on the date 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bl>
      <w:tblPr>
        <w:tblW w:w="2757" w:type="dxa"/>
        <w:jc w:val="left"/>
        <w:tblInd w:w="0" w:type="dxa"/>
        <w:tblLayout w:type="fixed"/>
        <w:tblCellMar>
          <w:top w:w="28" w:type="dxa"/>
          <w:left w:w="28" w:type="dxa"/>
          <w:bottom w:w="28" w:type="dxa"/>
          <w:right w:w="28" w:type="dxa"/>
        </w:tblCellMar>
      </w:tblPr>
      <w:tblGrid>
        <w:gridCol w:w="124"/>
        <w:gridCol w:w="109"/>
        <w:gridCol w:w="109"/>
        <w:gridCol w:w="704"/>
        <w:gridCol w:w="704"/>
        <w:gridCol w:w="10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Goff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Goff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on Form 10-Q of Agios Pharmaceuticals, Inc. (the “Company”) for the fiscal quarter ended June 30, 2026, as filed with the Securities and Exchange Commission on the date hereof (the “Report”), the undersigned, Cecilia Jones, Chief Financial Officer of the Company, hereby certifies, pursuant to 18 U.S.C. Section 1350, that, to her knowledge on the date 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bl>
      <w:tblPr>
        <w:tblW w:w="2682" w:type="dxa"/>
        <w:jc w:val="left"/>
        <w:tblInd w:w="0" w:type="dxa"/>
        <w:tblLayout w:type="fixed"/>
        <w:tblCellMar>
          <w:top w:w="28" w:type="dxa"/>
          <w:left w:w="28" w:type="dxa"/>
          <w:bottom w:w="28" w:type="dxa"/>
          <w:right w:w="28" w:type="dxa"/>
        </w:tblCellMar>
      </w:tblPr>
      <w:tblGrid>
        <w:gridCol w:w="124"/>
        <w:gridCol w:w="109"/>
        <w:gridCol w:w="109"/>
        <w:gridCol w:w="685"/>
        <w:gridCol w:w="685"/>
        <w:gridCol w:w="9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Cecilia Jones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Cecilia Jones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9222/000119312513307909/d574969dex31.htm" TargetMode="External"/><Relationship Id="rId3" Type="http://schemas.openxmlformats.org/officeDocument/2006/relationships/hyperlink" Target="https://www.sec.gov/Archives/edgar/data/1439222/000119312523060031/d638020dex31.htm" TargetMode="External"/><Relationship Id="rId4" Type="http://schemas.openxmlformats.org/officeDocument/2006/relationships/hyperlink" Target="https://www.sec.gov/Archives/edgar/data/1439222/000119312526275895/d57571dex991.htm" TargetMode="External"/><Relationship Id="rId5" Type="http://schemas.openxmlformats.org/officeDocument/2006/relationships/hyperlink" Target="https://www.sec.gov/Archives/edgar/data/1439222/000119312526275895/d57571dex99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41598</Words>
  <Characters>235658</Characters>
  <CharactersWithSpaces>276138</CharactersWithSpaces>
  <Paragraphs>2424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