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629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629910"/>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212"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Goff Brian</w:t>
              </w:r>
            </w:hyperlink>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AGIOS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1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AGIO </w:t>
            </w:r>
            <w:r>
              <w:rPr>
                <w:rFonts w:ascii="Times New Roman" w:cs="Times New Roman" w:eastAsia="Times New Roman" w:hAnsi="Times New Roman"/>
                <w:sz w:val="20"/>
                <w:szCs w:val="20"/>
                <w:color w:val="000000"/>
              </w:rPr>
              <w:t>]</w:t>
            </w:r>
          </w:p>
        </w:tc>
        <w:tc>
          <w:tcPr>
            <w:tcW w:w="58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180" w:type="dxa"/>
            <w:vAlign w:val="bottom"/>
            <w:tcBorders>
              <w:top w:val="single" w:sz="8" w:color="0000EE"/>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9"/>
                <w:szCs w:val="19"/>
                <w:color w:val="auto"/>
              </w:rPr>
            </w:pPr>
          </w:p>
        </w:tc>
        <w:tc>
          <w:tcPr>
            <w:tcW w:w="31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29"/>
        </w:trPr>
        <w:tc>
          <w:tcPr>
            <w:tcW w:w="33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AGIOS PHARMACEUTICALS, INC.</w:t>
            </w:r>
          </w:p>
        </w:tc>
        <w:tc>
          <w:tcPr>
            <w:tcW w:w="3200" w:type="dxa"/>
            <w:vAlign w:val="bottom"/>
          </w:tcPr>
          <w:p>
            <w:pPr>
              <w:ind w:left="440"/>
              <w:spacing w:after="0" w:line="129" w:lineRule="exact"/>
              <w:rPr>
                <w:sz w:val="20"/>
                <w:szCs w:val="20"/>
                <w:color w:val="auto"/>
              </w:rPr>
            </w:pPr>
            <w:r>
              <w:rPr>
                <w:rFonts w:ascii="Arial" w:cs="Arial" w:eastAsia="Arial" w:hAnsi="Arial"/>
                <w:sz w:val="13"/>
                <w:szCs w:val="13"/>
                <w:color w:val="auto"/>
                <w:w w:val="97"/>
              </w:rPr>
              <w:t>3. Date of Earliest Transaction (Month/Day/Year)</w:t>
            </w:r>
          </w:p>
        </w:tc>
        <w:tc>
          <w:tcPr>
            <w:tcW w:w="0" w:type="dxa"/>
            <w:vAlign w:val="bottom"/>
          </w:tcPr>
          <w:p>
            <w:pPr>
              <w:spacing w:after="0"/>
              <w:rPr>
                <w:sz w:val="1"/>
                <w:szCs w:val="1"/>
                <w:color w:val="auto"/>
              </w:rPr>
            </w:pPr>
          </w:p>
        </w:tc>
      </w:tr>
      <w:tr>
        <w:trPr>
          <w:trHeight w:val="139"/>
        </w:trPr>
        <w:tc>
          <w:tcPr>
            <w:tcW w:w="3340" w:type="dxa"/>
            <w:vAlign w:val="bottom"/>
            <w:vMerge w:val="continue"/>
          </w:tcPr>
          <w:p>
            <w:pPr>
              <w:spacing w:after="0"/>
              <w:rPr>
                <w:sz w:val="12"/>
                <w:szCs w:val="12"/>
                <w:color w:val="auto"/>
              </w:rPr>
            </w:pPr>
          </w:p>
        </w:tc>
        <w:tc>
          <w:tcPr>
            <w:tcW w:w="32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77"/>
        </w:trPr>
        <w:tc>
          <w:tcPr>
            <w:tcW w:w="33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88 SIDNEY STREET</w:t>
            </w: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40" w:type="dxa"/>
            <w:vAlign w:val="bottom"/>
            <w:vMerge w:val="continue"/>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791"/>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60" w:space="69"/>
            <w:col w:w="3351"/>
          </w:cols>
          <w:pgMar w:left="460" w:top="217" w:right="359" w:bottom="212" w:gutter="0" w:footer="0" w:header="0"/>
          <w:type w:val="continuous"/>
        </w:sect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2" w:lineRule="exact"/>
        <w:rPr>
          <w:sz w:val="20"/>
          <w:szCs w:val="20"/>
          <w:color w:val="auto"/>
        </w:rPr>
      </w:pPr>
    </w:p>
    <w:p>
      <w:pPr>
        <w:sectPr>
          <w:pgSz w:w="11900" w:h="16838" w:orient="portrait"/>
          <w:cols w:equalWidth="0" w:num="2">
            <w:col w:w="3760" w:space="140"/>
            <w:col w:w="7180"/>
          </w:cols>
          <w:pgMar w:left="460" w:top="217" w:right="359" w:bottom="2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492"/>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12"/>
              <w:spacing w:after="0"/>
              <w:rPr>
                <w:sz w:val="20"/>
                <w:szCs w:val="20"/>
                <w:color w:val="auto"/>
              </w:rPr>
            </w:pPr>
            <w:r>
              <w:rPr>
                <w:rFonts w:ascii="Times New Roman" w:cs="Times New Roman" w:eastAsia="Times New Roman" w:hAnsi="Times New Roman"/>
                <w:sz w:val="17"/>
                <w:szCs w:val="17"/>
                <w:color w:val="0000FF"/>
                <w:w w:val="98"/>
              </w:rPr>
              <w:t>04/02/2026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8"/>
              </w:rPr>
              <w:t>25,528</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190,076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2"/>
              <w:spacing w:after="0"/>
              <w:rPr>
                <w:sz w:val="20"/>
                <w:szCs w:val="20"/>
                <w:color w:val="auto"/>
              </w:rPr>
            </w:pPr>
            <w:r>
              <w:rPr>
                <w:rFonts w:ascii="Times New Roman" w:cs="Times New Roman" w:eastAsia="Times New Roman" w:hAnsi="Times New Roman"/>
                <w:sz w:val="17"/>
                <w:szCs w:val="17"/>
                <w:color w:val="0000FF"/>
                <w:w w:val="98"/>
              </w:rPr>
              <w:t>04/02/2026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7"/>
                <w:szCs w:val="17"/>
                <w:color w:val="0000FF"/>
                <w:w w:val="98"/>
              </w:rPr>
              <w:t>12,472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34.71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177,604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12"/>
              <w:spacing w:after="0"/>
              <w:rPr>
                <w:sz w:val="20"/>
                <w:szCs w:val="20"/>
                <w:color w:val="auto"/>
              </w:rPr>
            </w:pPr>
            <w:r>
              <w:rPr>
                <w:rFonts w:ascii="Times New Roman" w:cs="Times New Roman" w:eastAsia="Times New Roman" w:hAnsi="Times New Roman"/>
                <w:sz w:val="17"/>
                <w:szCs w:val="17"/>
                <w:color w:val="0000FF"/>
                <w:w w:val="98"/>
              </w:rPr>
              <w:t>04/02/2026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8"/>
              </w:rPr>
              <w:t>13,500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191,104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2"/>
              <w:spacing w:after="0"/>
              <w:rPr>
                <w:sz w:val="20"/>
                <w:szCs w:val="20"/>
                <w:color w:val="auto"/>
              </w:rPr>
            </w:pPr>
            <w:r>
              <w:rPr>
                <w:rFonts w:ascii="Times New Roman" w:cs="Times New Roman" w:eastAsia="Times New Roman" w:hAnsi="Times New Roman"/>
                <w:sz w:val="17"/>
                <w:szCs w:val="17"/>
                <w:color w:val="0000FF"/>
                <w:w w:val="98"/>
              </w:rPr>
              <w:t>04/02/2026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7"/>
                <w:szCs w:val="17"/>
                <w:color w:val="0000FF"/>
                <w:w w:val="99"/>
              </w:rPr>
              <w:t>6,596</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34.71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184,508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04/02/2026</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25,528</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25,528</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04/02/2026</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13,500</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13,500</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40,500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-2164715</wp:posOffset>
            </wp:positionV>
            <wp:extent cx="29210" cy="2169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697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the tax withholding obligation in respect of vesting of the reporting person's performance share units. This transaction was effected pursuant to durable automatic sale instructions consistent with the affirmative defense to liability under Section 10(b) of the Securities Exchange Act of 1934 under Rule 10b5-1(c) promulgated under such Act. Such instructions were included in the reporting person's performance share unit agreement dated August 8, 2022.</w:t>
      </w:r>
    </w:p>
    <w:p>
      <w:pPr>
        <w:spacing w:after="0" w:line="26"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the tax withholding obligation in respect of vesting of the reporting person's performance share units. This transaction was effected pursuant to durable automatic sale instructions consistent with the affirmative defense to liability under Section 10(b) of the Securities Exchange Act of 1934 under Rule 10b5-1(c) promulgated under such Act. Such instructions were included in the reporting person's performance share unit agreement dated March 1, 2024.</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share unit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were granted on August 8, 2022. The PSUs vest as to 15% of the underlying shares upon the achievement of a specified regulatory milestone and as to the remaining underlying shares upon the achievement of other clinical and regulatory milestones. The performance criteria for the specified regulatory milestone was determined to have been met on April 2, 2026, resulting in the vesting of the PSUs as to 15% of the underlying shares of common stock. Vested shares will be delivered to the reporting person within three business days after such shares become vested.</w:t>
      </w:r>
    </w:p>
    <w:p>
      <w:pPr>
        <w:spacing w:after="0" w:line="26" w:lineRule="exact"/>
        <w:rPr>
          <w:rFonts w:ascii="Times New Roman" w:cs="Times New Roman" w:eastAsia="Times New Roman" w:hAnsi="Times New Roman"/>
          <w:sz w:val="13"/>
          <w:szCs w:val="13"/>
          <w:color w:val="008000"/>
        </w:rPr>
      </w:pPr>
    </w:p>
    <w:p>
      <w:pPr>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were granted on March 1, 2024. The PSUs vest as to 25% of the underlying shares upon the achievement of a specified regulatory milestone and as to the remaining 75% of the underlying shares upon the achievement of a specified commercial milestone. The performance criteria for the specified regulatory milestone was determined to have been met on April 2, 2026, resulting in the vesting of the PSUs as to 25% of the underlying shares. Vested shares will be delivered to the reporting person within three business days after such shares become vested.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William Cook, as Attorney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04/06/2026</w:t>
            </w:r>
          </w:p>
        </w:tc>
        <w:tc>
          <w:tcPr>
            <w:tcW w:w="0" w:type="dxa"/>
            <w:vAlign w:val="bottom"/>
          </w:tcPr>
          <w:p>
            <w:pPr>
              <w:spacing w:after="0"/>
              <w:rPr>
                <w:sz w:val="1"/>
                <w:szCs w:val="1"/>
                <w:color w:val="auto"/>
              </w:rPr>
            </w:pPr>
          </w:p>
        </w:tc>
      </w:tr>
      <w:tr>
        <w:trPr>
          <w:trHeight w:val="82"/>
        </w:trPr>
        <w:tc>
          <w:tcPr>
            <w:tcW w:w="19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 Fact for Brian Goff</w:t>
            </w: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6216"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2026-04-06T15:08:09Z</dcterms:created>
  <dcterms:modified xsi:type="dcterms:W3CDTF">2026-04-06T15:08:09Z</dcterms:modified>
</cp:coreProperties>
</file>