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472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723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Gheuens Sarah</w:t>
              </w:r>
            </w:hyperlink>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8"/>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AGIOS PHARMACEUTICALS, INC. </w:t>
              </w:r>
            </w:hyperlink>
            <w:r>
              <w:rPr>
                <w:rFonts w:ascii="Times New Roman" w:cs="Times New Roman" w:eastAsia="Times New Roman" w:hAnsi="Times New Roman"/>
                <w:sz w:val="11"/>
                <w:szCs w:val="11"/>
                <w:color w:val="000000"/>
              </w:rPr>
              <w:t>[</w:t>
            </w:r>
          </w:p>
        </w:tc>
        <w:tc>
          <w:tcPr>
            <w:tcW w:w="1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20" w:type="dxa"/>
            <w:vAlign w:val="bottom"/>
            <w:tcBorders>
              <w:bottom w:val="single" w:sz="8" w:color="0000EE"/>
            </w:tcBorders>
            <w:gridSpan w:val="2"/>
            <w:vMerge w:val="continue"/>
          </w:tcPr>
          <w:p>
            <w:pPr>
              <w:spacing w:after="0"/>
              <w:rPr>
                <w:sz w:val="4"/>
                <w:szCs w:val="4"/>
                <w:color w:val="auto"/>
              </w:rPr>
            </w:pPr>
          </w:p>
        </w:tc>
        <w:tc>
          <w:tcPr>
            <w:tcW w:w="280" w:type="dxa"/>
            <w:vAlign w:val="bottom"/>
            <w:vMerge w:val="restart"/>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tcPr>
          <w:p>
            <w:pPr>
              <w:spacing w:after="0"/>
              <w:rPr>
                <w:sz w:val="3"/>
                <w:szCs w:val="3"/>
                <w:color w:val="auto"/>
              </w:rPr>
            </w:pPr>
          </w:p>
        </w:tc>
        <w:tc>
          <w:tcPr>
            <w:tcW w:w="2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460" w:type="dxa"/>
            <w:vAlign w:val="bottom"/>
            <w:gridSpan w:val="4"/>
          </w:tcPr>
          <w:p>
            <w:pPr>
              <w:ind w:left="22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40" w:type="dxa"/>
            <w:vAlign w:val="bottom"/>
            <w:tcBorders>
              <w:top w:val="single" w:sz="8" w:color="EEEEEE"/>
              <w:bottom w:val="single" w:sz="8" w:color="EEEEEE"/>
            </w:tcBorders>
            <w:gridSpan w:val="3"/>
            <w:vMerge w:val="restart"/>
          </w:tcPr>
          <w:p>
            <w:pPr>
              <w:ind w:left="5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Chief Medical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88 SIDNEY STREET</w:t>
            </w: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6"/>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284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366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9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3"/>
            <w:vMerge w:val="restart"/>
          </w:tcPr>
          <w:p>
            <w:pPr>
              <w:ind w:left="54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160" w:type="dxa"/>
            <w:vAlign w:val="bottom"/>
            <w:tcBorders>
              <w:bottom w:val="single" w:sz="8" w:color="2C2C2C"/>
            </w:tcBorders>
            <w:gridSpan w:val="6"/>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gridSpan w:val="2"/>
          </w:tcPr>
          <w:p>
            <w:pPr>
              <w:ind w:left="8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jc w:val="center"/>
              <w:ind w:left="4"/>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ind w:right="4"/>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3"/>
          </w:tcPr>
          <w:p>
            <w:pPr>
              <w:spacing w:after="0"/>
              <w:rPr>
                <w:sz w:val="6"/>
                <w:szCs w:val="6"/>
                <w:color w:val="auto"/>
              </w:rPr>
            </w:pPr>
          </w:p>
        </w:tc>
        <w:tc>
          <w:tcPr>
            <w:tcW w:w="3160" w:type="dxa"/>
            <w:vAlign w:val="bottom"/>
            <w:tcBorders>
              <w:bottom w:val="single" w:sz="8" w:color="2C2C2C"/>
            </w:tcBorders>
            <w:gridSpan w:val="6"/>
          </w:tcPr>
          <w:p>
            <w:pPr>
              <w:spacing w:after="0"/>
              <w:rPr>
                <w:sz w:val="6"/>
                <w:szCs w:val="6"/>
                <w:color w:val="auto"/>
              </w:rPr>
            </w:pPr>
          </w:p>
        </w:tc>
        <w:tc>
          <w:tcPr>
            <w:tcW w:w="94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Execution Date,</w:t>
            </w:r>
          </w:p>
        </w:tc>
        <w:tc>
          <w:tcPr>
            <w:tcW w:w="1660" w:type="dxa"/>
            <w:vAlign w:val="bottom"/>
            <w:gridSpan w:val="5"/>
          </w:tcPr>
          <w:p>
            <w:pPr>
              <w:ind w:left="20"/>
              <w:spacing w:after="0"/>
              <w:rPr>
                <w:sz w:val="20"/>
                <w:szCs w:val="20"/>
                <w:color w:val="auto"/>
              </w:rPr>
            </w:pPr>
            <w:r>
              <w:rPr>
                <w:rFonts w:ascii="Arial" w:cs="Arial" w:eastAsia="Arial" w:hAnsi="Arial"/>
                <w:sz w:val="11"/>
                <w:szCs w:val="11"/>
                <w:b w:val="1"/>
                <w:bCs w:val="1"/>
                <w:color w:val="auto"/>
              </w:rPr>
              <w:t>Transaction   Derivative</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1"/>
                <w:szCs w:val="11"/>
                <w:color w:val="auto"/>
              </w:rPr>
            </w:pP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9"/>
                <w:szCs w:val="19"/>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0000FF"/>
              </w:rPr>
              <w:t>06/18/2026</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9,000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9"/>
                <w:szCs w:val="19"/>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0000FF"/>
              </w:rPr>
              <w:t>06/18/2026</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3,000</w:t>
            </w:r>
          </w:p>
        </w:tc>
        <w:tc>
          <w:tcPr>
            <w:tcW w:w="50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3,000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-1993265</wp:posOffset>
            </wp:positionV>
            <wp:extent cx="28575" cy="199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83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were granted on March 1, 2025, and provide for the vesting of underlying shares upon the achievement of three specified clinical and research milestones established by the compensation &amp; people committee, or board of directors, as applicable. The performance criteria for the specified research milestone was determined by the compensation &amp; people committee to be met as of June 18, 2026. The shares related to such milestone will vest on December 31, 2027, subject to the recipient's continued service.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William Cook,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Sarah Gheuens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1190"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2026-06-23T16:58:00Z</dcterms:created>
  <dcterms:modified xsi:type="dcterms:W3CDTF">2026-06-23T16:58:00Z</dcterms:modified>
</cp:coreProperties>
</file>