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601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0184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Jones Cecilia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20" w:type="dxa"/>
            <w:vAlign w:val="bottom"/>
          </w:tcPr>
          <w:p>
            <w:pPr>
              <w:ind w:left="12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AGIOS PHARMACEUTICALS, INC.</w:t>
            </w:r>
          </w:p>
        </w:tc>
      </w:tr>
      <w:tr>
        <w:trPr>
          <w:trHeight w:val="255"/>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88 SIDNEY STREET</w:t>
            </w:r>
          </w:p>
        </w:tc>
        <w:tc>
          <w:tcPr>
            <w:tcW w:w="1620" w:type="dxa"/>
            <w:vAlign w:val="bottom"/>
          </w:tcPr>
          <w:p>
            <w:pPr>
              <w:spacing w:after="0"/>
              <w:rPr>
                <w:sz w:val="22"/>
                <w:szCs w:val="22"/>
                <w:color w:val="auto"/>
              </w:rPr>
            </w:pPr>
          </w:p>
        </w:tc>
      </w:tr>
      <w:tr>
        <w:trPr>
          <w:trHeight w:val="146"/>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6"/>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46"/>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3"/>
          </w:tcPr>
          <w:p>
            <w:pPr>
              <w:ind w:left="8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AGIOS PHARMACEUTICALS, INC. </w:t>
              </w:r>
            </w:hyperlink>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3160" w:type="dxa"/>
            <w:vAlign w:val="bottom"/>
            <w:tcBorders>
              <w:bottom w:val="single" w:sz="8" w:color="0000EE"/>
            </w:tcBorders>
          </w:tcPr>
          <w:p>
            <w:pPr>
              <w:spacing w:after="0"/>
              <w:rPr>
                <w:sz w:val="3"/>
                <w:szCs w:val="3"/>
                <w:color w:val="auto"/>
              </w:rPr>
            </w:pPr>
          </w:p>
        </w:tc>
        <w:tc>
          <w:tcPr>
            <w:tcW w:w="60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3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AGIO </w:t>
            </w:r>
            <w:r>
              <w:rPr>
                <w:rFonts w:ascii="Times New Roman" w:cs="Times New Roman" w:eastAsia="Times New Roman" w:hAnsi="Times New Roman"/>
                <w:sz w:val="20"/>
                <w:szCs w:val="20"/>
                <w:color w:val="000000"/>
              </w:rPr>
              <w:t>]</w:t>
            </w:r>
          </w:p>
        </w:tc>
        <w:tc>
          <w:tcPr>
            <w:tcW w:w="182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840" w:type="dxa"/>
            <w:vAlign w:val="bottom"/>
            <w:gridSpan w:val="3"/>
            <w:vMerge w:val="continue"/>
          </w:tcPr>
          <w:p>
            <w:pPr>
              <w:spacing w:after="0"/>
              <w:rPr>
                <w:sz w:val="11"/>
                <w:szCs w:val="11"/>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2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31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820" w:type="dxa"/>
            <w:vAlign w:val="bottom"/>
          </w:tcPr>
          <w:p>
            <w:pPr>
              <w:ind w:left="58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78"/>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280" w:type="dxa"/>
            <w:vAlign w:val="bottom"/>
            <w:gridSpan w:val="2"/>
          </w:tcPr>
          <w:p>
            <w:pPr>
              <w:ind w:left="880"/>
              <w:spacing w:after="0" w:line="178" w:lineRule="exact"/>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32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06/18/2026</w:t>
            </w:r>
          </w:p>
        </w:tc>
        <w:tc>
          <w:tcPr>
            <w:tcW w:w="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0" w:type="dxa"/>
            <w:vAlign w:val="bottom"/>
            <w:tcBorders>
              <w:bottom w:val="single" w:sz="8" w:color="2C2C2C"/>
            </w:tcBorders>
          </w:tcPr>
          <w:p>
            <w:pPr>
              <w:spacing w:after="0"/>
              <w:rPr>
                <w:sz w:val="14"/>
                <w:szCs w:val="14"/>
                <w:color w:val="auto"/>
              </w:rPr>
            </w:pPr>
          </w:p>
        </w:tc>
        <w:tc>
          <w:tcPr>
            <w:tcW w:w="31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28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06/18/2026</w:t>
            </w:r>
          </w:p>
        </w:tc>
        <w:tc>
          <w:tcPr>
            <w:tcW w:w="1060" w:type="dxa"/>
            <w:vAlign w:val="bottom"/>
          </w:tcPr>
          <w:p>
            <w:pPr>
              <w:spacing w:after="0"/>
              <w:rPr>
                <w:sz w:val="19"/>
                <w:szCs w:val="19"/>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9"/>
                <w:szCs w:val="19"/>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3,000</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9,000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06/18/2026</w:t>
            </w:r>
          </w:p>
        </w:tc>
        <w:tc>
          <w:tcPr>
            <w:tcW w:w="1060" w:type="dxa"/>
            <w:vAlign w:val="bottom"/>
          </w:tcPr>
          <w:p>
            <w:pPr>
              <w:spacing w:after="0"/>
              <w:rPr>
                <w:sz w:val="19"/>
                <w:szCs w:val="19"/>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3,000</w:t>
            </w:r>
          </w:p>
        </w:tc>
        <w:tc>
          <w:tcPr>
            <w:tcW w:w="42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3,000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represents a contingent right to receive one share of the issuer's common stock.</w:t>
      </w:r>
    </w:p>
    <w:p>
      <w:pPr>
        <w:spacing w:after="0" w:line="41" w:lineRule="exact"/>
        <w:rPr>
          <w:rFonts w:ascii="Times New Roman" w:cs="Times New Roman" w:eastAsia="Times New Roman" w:hAnsi="Times New Roman"/>
          <w:sz w:val="13"/>
          <w:szCs w:val="13"/>
          <w:color w:val="008000"/>
        </w:rPr>
      </w:pPr>
    </w:p>
    <w:p>
      <w:pPr>
        <w:ind w:left="40" w:right="1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Performance stock units were granted on March 1, 2025, and provide for the vesting of underlying shares upon the achievement of three specified clinical and research milestones established by the compensation &amp; people committee, or board of directors, as applicable. The performance criteria for the specified research milestone was determined by the compensation &amp; people committee to be met as of June 18, 2026. The shares related to such milestone will vest on December 31, 2027, subject to the recipient's continued service.</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William Cook, as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06/23/2026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 for Cecilia Jones</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40056" TargetMode="External"/><Relationship Id="rId14" Type="http://schemas.openxmlformats.org/officeDocument/2006/relationships/hyperlink" Target="http://www.sec.gov/cgi-bin/browse-edgar?action=getcompany&amp;CIK=00014392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2026-06-23T16:51:44Z</dcterms:created>
  <dcterms:modified xsi:type="dcterms:W3CDTF">2026-06-23T16:51:44Z</dcterms:modified>
</cp:coreProperties>
</file>