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10886ddefa14a.htm"/>
      <w:bookmarkStart w:id="1" w:name="ksd110886ddefa14a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(Rule 14a-101)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INFORMATION REQUIRED IN PROXY STATEMENT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SCHEDULE 14A INFORMATION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the Registrant ☒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a party other than the Registrant ☐ </w:t>
      </w:r>
    </w:p>
    <w:p>
      <w:pPr>
        <w:pStyle w:val="TextBody"/>
        <w:bidi w:val="0"/>
        <w:spacing w:before="48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Confidential, for Use of the Commission Only (as permitted by Rule 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Soliciting Material Pursuant to §240.14a-12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Agios Pharmaceuticals,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Not applicable.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Payment of Filing Fee (Check all boxes that apply):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No fee required.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Fee paid previously with preliminary materials.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Fee computed on table in exhibit required by Item 25(b) per Exchange Act Rules 14a-6(i)(1) and 0-11.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7395210" cy="9601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5210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573520" cy="8534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520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145</Words>
  <Characters>810</Characters>
  <CharactersWithSpaces>968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