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2592.xml.htm"/>
      <w:bookmarkStart w:id="1" w:name="kswkform4_17830225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Gheuens Sarah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88 SIDNEY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AGIOS PHARMACEUTICALS, INC.</w:t>
              </w:r>
            </w:hyperlink>
            <w:r>
              <w:rPr/>
              <w:t xml:space="preserve"> [ </w:t>
            </w:r>
            <w:r>
              <w:rPr>
                <w:rFonts w:ascii="Times;serif" w:hAnsi="Times;serif"/>
                <w:color w:val="0000FF"/>
                <w:sz w:val="24"/>
                <w:shd w:fill="FFFFFF" w:val="clear"/>
              </w:rPr>
              <w:t>AGIO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88,652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37.56</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84,645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8,375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to cover the tax withholding obligation in respect of vesting of the reporting person's restricted stock units. This transaction was effected pursuant to durable automatic sale instructions consistent with the affirmative defense to liability under Section 10(b) of the Securities Exchange Act of 1934 under Rule 10b5-1(c) promulgated under such Act. Such instructions were included in the reporting person's restricted stock unit agreement dated July 1,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were granted on July 1, 2023. Beginning on July 1, 2024, the shares underlying the restricted stock units will vest in three equal annual installments.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Cook, as attorney-in-fact for Sarah Gheuens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1190" TargetMode="External"/><Relationship Id="rId5" Type="http://schemas.openxmlformats.org/officeDocument/2006/relationships/hyperlink" Target="http://www.sec.gov/cgi-bin/browse-edgar?action=getcompany&amp;CIK=00014392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705</Words>
  <Characters>3830</Characters>
  <CharactersWithSpaces>4457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